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80932" w14:textId="77777777" w:rsidR="00355F2D" w:rsidRPr="00355F2D" w:rsidRDefault="00355F2D" w:rsidP="00355F2D">
      <w:pPr>
        <w:rPr>
          <w:rFonts w:ascii="Century Gothic" w:hAnsi="Century Gothic"/>
          <w:b/>
        </w:rPr>
      </w:pPr>
      <w:r w:rsidRPr="00355F2D">
        <w:rPr>
          <w:rFonts w:ascii="Century Gothic" w:hAnsi="Century Gothic"/>
          <w:b/>
        </w:rPr>
        <w:t xml:space="preserve">ДО </w:t>
      </w:r>
    </w:p>
    <w:p w14:paraId="4855AC37" w14:textId="77777777" w:rsidR="00355F2D" w:rsidRPr="00355F2D" w:rsidRDefault="00355F2D" w:rsidP="00355F2D">
      <w:pPr>
        <w:rPr>
          <w:rFonts w:ascii="Century Gothic" w:hAnsi="Century Gothic"/>
          <w:b/>
        </w:rPr>
      </w:pPr>
      <w:r w:rsidRPr="00355F2D">
        <w:rPr>
          <w:rFonts w:ascii="Century Gothic" w:hAnsi="Century Gothic"/>
          <w:b/>
        </w:rPr>
        <w:t>РАБОТНА ГРУПА ЗА ВЪЗСТАНОВЯВАНЕ И УСТОЙЧИВОСТ</w:t>
      </w:r>
    </w:p>
    <w:p w14:paraId="19BC86C9" w14:textId="77777777" w:rsidR="00355F2D" w:rsidRPr="00355F2D" w:rsidRDefault="00355F2D" w:rsidP="00355F2D">
      <w:pPr>
        <w:rPr>
          <w:rFonts w:ascii="Century Gothic" w:hAnsi="Century Gothic"/>
          <w:b/>
        </w:rPr>
      </w:pPr>
      <w:r w:rsidRPr="00355F2D">
        <w:rPr>
          <w:rFonts w:ascii="Century Gothic" w:hAnsi="Century Gothic"/>
          <w:b/>
        </w:rPr>
        <w:t>ГЕНЕРАЛЕН СЕКРЕТАРИАТ</w:t>
      </w:r>
    </w:p>
    <w:p w14:paraId="708B8776" w14:textId="77777777" w:rsidR="00355F2D" w:rsidRPr="00355F2D" w:rsidRDefault="00355F2D" w:rsidP="00355F2D">
      <w:pPr>
        <w:rPr>
          <w:rFonts w:ascii="Century Gothic" w:hAnsi="Century Gothic"/>
          <w:b/>
        </w:rPr>
      </w:pPr>
      <w:r w:rsidRPr="00355F2D">
        <w:rPr>
          <w:rFonts w:ascii="Century Gothic" w:hAnsi="Century Gothic"/>
          <w:b/>
        </w:rPr>
        <w:t>ЕВРОПЕЙСКА КОМИСИЯ</w:t>
      </w:r>
    </w:p>
    <w:p w14:paraId="33D8ADC8" w14:textId="77777777" w:rsidR="00355F2D" w:rsidRPr="00355F2D" w:rsidRDefault="00355F2D" w:rsidP="00355F2D">
      <w:pPr>
        <w:rPr>
          <w:rFonts w:ascii="Century Gothic" w:hAnsi="Century Gothic"/>
          <w:b/>
        </w:rPr>
      </w:pPr>
    </w:p>
    <w:p w14:paraId="1A8FAB7F" w14:textId="77777777" w:rsidR="00355F2D" w:rsidRPr="00355F2D" w:rsidRDefault="00355F2D" w:rsidP="00355F2D">
      <w:pPr>
        <w:rPr>
          <w:rFonts w:ascii="Century Gothic" w:hAnsi="Century Gothic"/>
          <w:b/>
        </w:rPr>
      </w:pPr>
      <w:r w:rsidRPr="00355F2D">
        <w:rPr>
          <w:rFonts w:ascii="Century Gothic" w:hAnsi="Century Gothic"/>
          <w:b/>
        </w:rPr>
        <w:t>ЕВРОПЕЙСКА КОМИСИЯ</w:t>
      </w:r>
    </w:p>
    <w:p w14:paraId="14B2F8D0" w14:textId="77777777" w:rsidR="00355F2D" w:rsidRPr="00355F2D" w:rsidRDefault="00355F2D" w:rsidP="00355F2D">
      <w:pPr>
        <w:rPr>
          <w:rFonts w:ascii="Century Gothic" w:hAnsi="Century Gothic"/>
          <w:b/>
        </w:rPr>
      </w:pPr>
      <w:r w:rsidRPr="00355F2D">
        <w:rPr>
          <w:rFonts w:ascii="Century Gothic" w:hAnsi="Century Gothic"/>
          <w:b/>
        </w:rPr>
        <w:t>ГЕНЕРАЛНА ДИРЕКЦИЯ „ИКОНОМИЧЕСКИ И ФИНАНСОВИ ВЪПРОСИ“</w:t>
      </w:r>
    </w:p>
    <w:p w14:paraId="30FFF697" w14:textId="77777777" w:rsidR="00355F2D" w:rsidRPr="00355F2D" w:rsidRDefault="00355F2D" w:rsidP="00355F2D">
      <w:pPr>
        <w:rPr>
          <w:rFonts w:ascii="Century Gothic" w:hAnsi="Century Gothic"/>
          <w:b/>
        </w:rPr>
      </w:pPr>
    </w:p>
    <w:p w14:paraId="66A3CD14" w14:textId="77777777" w:rsidR="00355F2D" w:rsidRPr="00355F2D" w:rsidRDefault="00355F2D" w:rsidP="00355F2D">
      <w:pPr>
        <w:rPr>
          <w:rFonts w:ascii="Century Gothic" w:hAnsi="Century Gothic"/>
          <w:b/>
        </w:rPr>
      </w:pPr>
      <w:r w:rsidRPr="00355F2D">
        <w:rPr>
          <w:rFonts w:ascii="Century Gothic" w:hAnsi="Century Gothic"/>
          <w:b/>
        </w:rPr>
        <w:t>ГЕНЕРАЛНА ДИРЕКЦИЯ „СЪОБЩИТЕЛНИ МРЕЖИ, СЪДЪРЖАНИЕ И ТЕХНОЛОГИИ“</w:t>
      </w:r>
    </w:p>
    <w:p w14:paraId="34FF6A62" w14:textId="77777777" w:rsidR="00355F2D" w:rsidRPr="00355F2D" w:rsidRDefault="00355F2D" w:rsidP="00355F2D">
      <w:pPr>
        <w:rPr>
          <w:rFonts w:ascii="Century Gothic" w:hAnsi="Century Gothic"/>
          <w:b/>
        </w:rPr>
      </w:pPr>
      <w:r w:rsidRPr="00355F2D">
        <w:rPr>
          <w:rFonts w:ascii="Century Gothic" w:hAnsi="Century Gothic"/>
          <w:b/>
        </w:rPr>
        <w:t>ЕВРОПЕЙСКА КОМИСИЯ</w:t>
      </w:r>
    </w:p>
    <w:p w14:paraId="45A0FD94" w14:textId="77777777" w:rsidR="00355F2D" w:rsidRPr="00355F2D" w:rsidRDefault="00355F2D" w:rsidP="00355F2D">
      <w:pPr>
        <w:rPr>
          <w:rFonts w:ascii="Century Gothic" w:hAnsi="Century Gothic"/>
          <w:b/>
        </w:rPr>
      </w:pPr>
    </w:p>
    <w:p w14:paraId="4C2CF7A6" w14:textId="77777777" w:rsidR="00355F2D" w:rsidRPr="00355F2D" w:rsidRDefault="00355F2D" w:rsidP="00355F2D">
      <w:pPr>
        <w:rPr>
          <w:rFonts w:ascii="Century Gothic" w:hAnsi="Century Gothic"/>
          <w:b/>
        </w:rPr>
      </w:pPr>
      <w:r w:rsidRPr="00355F2D">
        <w:rPr>
          <w:rFonts w:ascii="Century Gothic" w:hAnsi="Century Gothic"/>
          <w:b/>
        </w:rPr>
        <w:t>ГЕНЕРАЛНА ДИРЕКЦИЯ „КОНКУРЕНЦИЯ“</w:t>
      </w:r>
    </w:p>
    <w:p w14:paraId="74256FD2" w14:textId="77777777" w:rsidR="00355F2D" w:rsidRPr="00355F2D" w:rsidRDefault="00355F2D" w:rsidP="00355F2D">
      <w:pPr>
        <w:rPr>
          <w:rFonts w:ascii="Century Gothic" w:hAnsi="Century Gothic"/>
          <w:b/>
        </w:rPr>
      </w:pPr>
      <w:r w:rsidRPr="00355F2D">
        <w:rPr>
          <w:rFonts w:ascii="Century Gothic" w:hAnsi="Century Gothic"/>
          <w:b/>
        </w:rPr>
        <w:t>ЕВРОПЕЙСКА КОМИСИЯ</w:t>
      </w:r>
    </w:p>
    <w:p w14:paraId="5B3FC74B" w14:textId="77777777" w:rsidR="00355F2D" w:rsidRPr="00355F2D" w:rsidRDefault="00355F2D" w:rsidP="00355F2D">
      <w:pPr>
        <w:rPr>
          <w:rFonts w:ascii="Century Gothic" w:hAnsi="Century Gothic"/>
          <w:b/>
        </w:rPr>
      </w:pPr>
    </w:p>
    <w:p w14:paraId="38CD79C3" w14:textId="77777777" w:rsidR="00355F2D" w:rsidRPr="00355F2D" w:rsidRDefault="00355F2D" w:rsidP="00355F2D">
      <w:pPr>
        <w:rPr>
          <w:rFonts w:ascii="Century Gothic" w:hAnsi="Century Gothic"/>
          <w:b/>
        </w:rPr>
      </w:pPr>
    </w:p>
    <w:p w14:paraId="3DC50ECC" w14:textId="77777777" w:rsidR="00355F2D" w:rsidRPr="00355F2D" w:rsidRDefault="00355F2D" w:rsidP="00355F2D">
      <w:pPr>
        <w:rPr>
          <w:rFonts w:ascii="Century Gothic" w:hAnsi="Century Gothic"/>
          <w:b/>
        </w:rPr>
      </w:pPr>
      <w:r w:rsidRPr="00355F2D">
        <w:rPr>
          <w:rFonts w:ascii="Century Gothic" w:hAnsi="Century Gothic"/>
          <w:b/>
        </w:rPr>
        <w:t xml:space="preserve">ОТНОСНО: </w:t>
      </w:r>
      <w:r w:rsidRPr="00355F2D">
        <w:rPr>
          <w:rFonts w:ascii="Century Gothic" w:hAnsi="Century Gothic"/>
        </w:rPr>
        <w:t>ПРЕРАБОТЕН ПРОЕКТ П-18 “ЦИФРОВА СВЪРЗАНОСТ”</w:t>
      </w:r>
    </w:p>
    <w:p w14:paraId="4BD58399" w14:textId="77777777" w:rsidR="00355F2D" w:rsidRPr="00355F2D" w:rsidRDefault="00355F2D" w:rsidP="00355F2D">
      <w:pPr>
        <w:rPr>
          <w:rFonts w:ascii="Century Gothic" w:hAnsi="Century Gothic"/>
          <w:b/>
        </w:rPr>
      </w:pPr>
    </w:p>
    <w:p w14:paraId="5926561A" w14:textId="77777777" w:rsidR="00355F2D" w:rsidRPr="00355F2D" w:rsidRDefault="00355F2D" w:rsidP="00355F2D">
      <w:pPr>
        <w:rPr>
          <w:rFonts w:ascii="Century Gothic" w:hAnsi="Century Gothic"/>
          <w:b/>
        </w:rPr>
      </w:pPr>
      <w:r w:rsidRPr="00355F2D">
        <w:rPr>
          <w:rFonts w:ascii="Century Gothic" w:hAnsi="Century Gothic"/>
          <w:b/>
        </w:rPr>
        <w:t>УВАЖАЕМИ ДАМИ И ГОСПОДА,</w:t>
      </w:r>
    </w:p>
    <w:p w14:paraId="2EC21543" w14:textId="77777777" w:rsidR="00355F2D" w:rsidRPr="00355F2D" w:rsidRDefault="00355F2D" w:rsidP="00355F2D">
      <w:pPr>
        <w:jc w:val="both"/>
        <w:rPr>
          <w:rFonts w:ascii="Century Gothic" w:hAnsi="Century Gothic"/>
        </w:rPr>
      </w:pPr>
    </w:p>
    <w:p w14:paraId="66B681CE" w14:textId="77777777" w:rsidR="00355F2D" w:rsidRPr="00355F2D" w:rsidRDefault="00355F2D" w:rsidP="00355F2D">
      <w:pPr>
        <w:jc w:val="both"/>
        <w:rPr>
          <w:rFonts w:ascii="Century Gothic" w:hAnsi="Century Gothic"/>
        </w:rPr>
      </w:pPr>
      <w:r w:rsidRPr="00355F2D">
        <w:rPr>
          <w:rFonts w:ascii="Century Gothic" w:hAnsi="Century Gothic"/>
        </w:rPr>
        <w:t>С настоящото писмо бихме искали да споделим сериозните опасения на Алианса на технологичната индустрия (АТИ), свързани с публикувания на 11.03.22 г. преработен проект П-18 „Цифрова свързаност” от Националния план за възстановяване и устойчивост (НПВУ).</w:t>
      </w:r>
    </w:p>
    <w:p w14:paraId="029EAD35" w14:textId="77777777" w:rsidR="00355F2D" w:rsidRPr="00355F2D" w:rsidRDefault="00355F2D" w:rsidP="00355F2D">
      <w:pPr>
        <w:jc w:val="both"/>
        <w:rPr>
          <w:rFonts w:ascii="Century Gothic" w:hAnsi="Century Gothic"/>
        </w:rPr>
      </w:pPr>
    </w:p>
    <w:p w14:paraId="1C6776EA" w14:textId="77777777" w:rsidR="00355F2D" w:rsidRPr="00355F2D" w:rsidRDefault="00355F2D" w:rsidP="00355F2D">
      <w:pPr>
        <w:jc w:val="both"/>
        <w:rPr>
          <w:rFonts w:ascii="Century Gothic" w:hAnsi="Century Gothic"/>
          <w:b/>
        </w:rPr>
      </w:pPr>
      <w:r w:rsidRPr="00355F2D">
        <w:rPr>
          <w:rFonts w:ascii="Century Gothic" w:hAnsi="Century Gothic"/>
          <w:b/>
        </w:rPr>
        <w:t>1.</w:t>
      </w:r>
      <w:r w:rsidRPr="00355F2D">
        <w:rPr>
          <w:rFonts w:ascii="Century Gothic" w:hAnsi="Century Gothic"/>
          <w:b/>
        </w:rPr>
        <w:tab/>
        <w:t>НПВУ беше преработен без публични консултации</w:t>
      </w:r>
    </w:p>
    <w:p w14:paraId="4849AC60" w14:textId="77777777" w:rsidR="00355F2D" w:rsidRPr="00355F2D" w:rsidRDefault="00355F2D" w:rsidP="00355F2D">
      <w:pPr>
        <w:jc w:val="both"/>
        <w:rPr>
          <w:rFonts w:ascii="Century Gothic" w:hAnsi="Century Gothic"/>
        </w:rPr>
      </w:pPr>
      <w:r w:rsidRPr="00355F2D">
        <w:rPr>
          <w:rFonts w:ascii="Century Gothic" w:hAnsi="Century Gothic"/>
        </w:rPr>
        <w:t xml:space="preserve">На първо място бихме искали да изкажем нашето разочарование, свързано с нарушаването на принципите на ЕС за публичност и прозрачност. За разлика от </w:t>
      </w:r>
      <w:r w:rsidRPr="00355F2D">
        <w:rPr>
          <w:rFonts w:ascii="Century Gothic" w:hAnsi="Century Gothic"/>
        </w:rPr>
        <w:lastRenderedPageBreak/>
        <w:t xml:space="preserve">широко коментираните в публичното пространство през последните три месеца от представители на изпълнителната власт проекти в секторите транспорт, здравеопазване и енергетика, необходимостта от промяна в частта „Цифрова свързаност” нито веднъж не беше засегната и не бяха проведени публични консултации по нея. На практика новата версия беше публикувана – </w:t>
      </w:r>
      <w:r w:rsidRPr="00355F2D">
        <w:rPr>
          <w:rFonts w:ascii="Century Gothic" w:hAnsi="Century Gothic"/>
          <w:b/>
        </w:rPr>
        <w:t>за информация</w:t>
      </w:r>
      <w:r w:rsidRPr="00355F2D">
        <w:rPr>
          <w:rFonts w:ascii="Century Gothic" w:hAnsi="Century Gothic"/>
        </w:rPr>
        <w:t xml:space="preserve"> - на уебсайта - nextgeneration.bg на 11.03.2022 г. под заглавие „Преработени проекти в отговор на коментарите на Европейската комисия по Националния план за възстановяване и устойчивост“. За сравнение, публикуваните три версии към 15.10.2021 г., бяха задълбочено обсъждани със сектора в продължение на една година.</w:t>
      </w:r>
    </w:p>
    <w:p w14:paraId="4D66C6A6" w14:textId="77777777" w:rsidR="00355F2D" w:rsidRPr="00355F2D" w:rsidRDefault="00355F2D" w:rsidP="00355F2D">
      <w:pPr>
        <w:jc w:val="both"/>
        <w:rPr>
          <w:rFonts w:ascii="Century Gothic" w:hAnsi="Century Gothic"/>
        </w:rPr>
      </w:pPr>
    </w:p>
    <w:p w14:paraId="7ADFBE18" w14:textId="77777777" w:rsidR="00355F2D" w:rsidRPr="00355F2D" w:rsidRDefault="00355F2D" w:rsidP="00355F2D">
      <w:pPr>
        <w:jc w:val="both"/>
        <w:rPr>
          <w:rFonts w:ascii="Century Gothic" w:hAnsi="Century Gothic"/>
          <w:b/>
        </w:rPr>
      </w:pPr>
      <w:r w:rsidRPr="00355F2D">
        <w:rPr>
          <w:rFonts w:ascii="Century Gothic" w:hAnsi="Century Gothic"/>
          <w:b/>
        </w:rPr>
        <w:t>2.</w:t>
      </w:r>
      <w:r w:rsidRPr="00355F2D">
        <w:rPr>
          <w:rFonts w:ascii="Century Gothic" w:hAnsi="Century Gothic"/>
          <w:b/>
        </w:rPr>
        <w:tab/>
        <w:t>Липса на аргументация за направените промени</w:t>
      </w:r>
    </w:p>
    <w:p w14:paraId="748C9F38" w14:textId="77777777" w:rsidR="00355F2D" w:rsidRPr="00355F2D" w:rsidRDefault="00355F2D" w:rsidP="00355F2D">
      <w:pPr>
        <w:jc w:val="both"/>
        <w:rPr>
          <w:rFonts w:ascii="Century Gothic" w:hAnsi="Century Gothic"/>
        </w:rPr>
      </w:pPr>
      <w:r w:rsidRPr="00355F2D">
        <w:rPr>
          <w:rFonts w:ascii="Century Gothic" w:hAnsi="Century Gothic"/>
        </w:rPr>
        <w:t>Концепцията на проекта е изцяло преработена с единствения аргумент, че промените са направени, за да се отговори на коментарите на ЕК . Имаме сериозни резерви към този аргумент, поради факта, че последната версия на частта „Цифрова свързаност“ на НПВУ беше разработена специално, за да отговори на Насоките на ЕК към страните-членки, с цел да се компенсира изоставането на страната по отношение на индекса за навлизането на цифровите технологии в икономиката и обществото (DESI).</w:t>
      </w:r>
    </w:p>
    <w:p w14:paraId="51C514F7" w14:textId="77777777" w:rsidR="00355F2D" w:rsidRPr="00355F2D" w:rsidRDefault="00355F2D" w:rsidP="00355F2D">
      <w:pPr>
        <w:jc w:val="both"/>
        <w:rPr>
          <w:rFonts w:ascii="Century Gothic" w:hAnsi="Century Gothic"/>
        </w:rPr>
      </w:pPr>
    </w:p>
    <w:p w14:paraId="10C217AF" w14:textId="77777777" w:rsidR="00355F2D" w:rsidRDefault="00355F2D" w:rsidP="00355F2D">
      <w:pPr>
        <w:jc w:val="both"/>
        <w:rPr>
          <w:rFonts w:ascii="Century Gothic" w:hAnsi="Century Gothic"/>
          <w:b/>
        </w:rPr>
      </w:pPr>
      <w:r w:rsidRPr="00355F2D">
        <w:rPr>
          <w:rFonts w:ascii="Century Gothic" w:hAnsi="Century Gothic"/>
          <w:b/>
        </w:rPr>
        <w:t>3.</w:t>
      </w:r>
      <w:r w:rsidRPr="00355F2D">
        <w:rPr>
          <w:rFonts w:ascii="Century Gothic" w:hAnsi="Century Gothic"/>
          <w:b/>
        </w:rPr>
        <w:tab/>
        <w:t xml:space="preserve">По отношение преработения проект по същество обръщаме внимание на промените в няколко ключови за развитието на страната посоки: </w:t>
      </w:r>
    </w:p>
    <w:p w14:paraId="011340C9" w14:textId="77777777" w:rsidR="00355F2D" w:rsidRPr="00355F2D" w:rsidRDefault="00355F2D" w:rsidP="00355F2D">
      <w:pPr>
        <w:jc w:val="both"/>
        <w:rPr>
          <w:rFonts w:ascii="Century Gothic" w:hAnsi="Century Gothic"/>
          <w:b/>
        </w:rPr>
      </w:pPr>
    </w:p>
    <w:p w14:paraId="5AA918F0" w14:textId="77777777" w:rsidR="00355F2D" w:rsidRPr="00355F2D" w:rsidRDefault="00355F2D" w:rsidP="00355F2D">
      <w:pPr>
        <w:jc w:val="both"/>
        <w:rPr>
          <w:rFonts w:ascii="Century Gothic" w:hAnsi="Century Gothic"/>
        </w:rPr>
      </w:pPr>
      <w:r w:rsidRPr="00355F2D">
        <w:rPr>
          <w:rFonts w:ascii="Century Gothic" w:hAnsi="Century Gothic"/>
        </w:rPr>
        <w:t>3.1. Отпадането на изграждането на 5G по трансевропейските коридори поставя под съмнение готовността на България да отговори на изпълнението на целите на „5G за Европа: План за действие” , според които „всички градски зони и всички основни пътища от републиканската пътна мрежа трябва да имат пълно покритие на 5G до 2025 г.“</w:t>
      </w:r>
    </w:p>
    <w:p w14:paraId="242E98B1" w14:textId="77777777" w:rsidR="00355F2D" w:rsidRPr="00355F2D" w:rsidRDefault="00355F2D" w:rsidP="00355F2D">
      <w:pPr>
        <w:jc w:val="both"/>
        <w:rPr>
          <w:rFonts w:ascii="Century Gothic" w:hAnsi="Century Gothic"/>
        </w:rPr>
      </w:pPr>
    </w:p>
    <w:p w14:paraId="2AA473A7" w14:textId="77777777" w:rsidR="00355F2D" w:rsidRPr="00355F2D" w:rsidRDefault="00355F2D" w:rsidP="00355F2D">
      <w:pPr>
        <w:jc w:val="both"/>
        <w:rPr>
          <w:rFonts w:ascii="Century Gothic" w:hAnsi="Century Gothic"/>
        </w:rPr>
      </w:pPr>
      <w:r w:rsidRPr="00355F2D">
        <w:rPr>
          <w:rFonts w:ascii="Century Gothic" w:hAnsi="Century Gothic"/>
        </w:rPr>
        <w:t xml:space="preserve">3.2. Първоначално планираният финансов ресурс за 5G беше пренасочен към развитието на държавната електронна съобщителна мрежа. Смятаме, че това противоречи на целите на ЕС, заложени в ИВУ за възстановяване и устойчиво развитие на икономиката, стимулиране на частната инициатива и насърчаване на инвестициите. Нещо повече, дори целите на преработения план са написани така, че да облагодетелстват развитието на държавна </w:t>
      </w:r>
      <w:r w:rsidRPr="00355F2D">
        <w:rPr>
          <w:rFonts w:ascii="Century Gothic" w:hAnsi="Century Gothic"/>
        </w:rPr>
        <w:lastRenderedPageBreak/>
        <w:t>телекомуникационна мрежа за сметка на разгръщането на мрежи в селските райони: Нотификацията за държавна помощ и процедурите но обществени поръчки ще се провеждат паралелно в периода от шест месеца, докато нотификацията за държавна помощ по според „Дейност 2“ ще трае една  година, а процедурите по обществените поръчки ще са две години и половина.</w:t>
      </w:r>
    </w:p>
    <w:p w14:paraId="01F58DBC" w14:textId="77777777" w:rsidR="00355F2D" w:rsidRPr="00355F2D" w:rsidRDefault="00355F2D" w:rsidP="00355F2D">
      <w:pPr>
        <w:jc w:val="both"/>
        <w:rPr>
          <w:rFonts w:ascii="Century Gothic" w:hAnsi="Century Gothic"/>
        </w:rPr>
      </w:pPr>
    </w:p>
    <w:p w14:paraId="444B2463" w14:textId="77777777" w:rsidR="00355F2D" w:rsidRPr="00355F2D" w:rsidRDefault="00355F2D" w:rsidP="00355F2D">
      <w:pPr>
        <w:jc w:val="both"/>
        <w:rPr>
          <w:rFonts w:ascii="Century Gothic" w:hAnsi="Century Gothic"/>
        </w:rPr>
      </w:pPr>
      <w:r w:rsidRPr="00355F2D">
        <w:rPr>
          <w:rFonts w:ascii="Century Gothic" w:hAnsi="Century Gothic"/>
        </w:rPr>
        <w:t>По този начин, вместо да служат за възстановяване на икономиката и устойчивото развитие на дигиталната трансформация, половината от средствата от бюджета за „Цифрова свързаност“ ще се използват за „Дейност 1 – Развитие на държавна опорна мрежа“.</w:t>
      </w:r>
    </w:p>
    <w:p w14:paraId="11BFC190" w14:textId="77777777" w:rsidR="00355F2D" w:rsidRPr="00355F2D" w:rsidRDefault="00355F2D" w:rsidP="00355F2D">
      <w:pPr>
        <w:jc w:val="both"/>
        <w:rPr>
          <w:rFonts w:ascii="Century Gothic" w:hAnsi="Century Gothic"/>
        </w:rPr>
      </w:pPr>
    </w:p>
    <w:p w14:paraId="04716265" w14:textId="77777777" w:rsidR="00355F2D" w:rsidRPr="00355F2D" w:rsidRDefault="00355F2D" w:rsidP="00355F2D">
      <w:pPr>
        <w:jc w:val="both"/>
        <w:rPr>
          <w:rFonts w:ascii="Century Gothic" w:hAnsi="Century Gothic"/>
        </w:rPr>
      </w:pPr>
      <w:r w:rsidRPr="00355F2D">
        <w:rPr>
          <w:rFonts w:ascii="Century Gothic" w:hAnsi="Century Gothic"/>
        </w:rPr>
        <w:t>Изредените по-горе проблеми пораждат следните въпроси:</w:t>
      </w:r>
    </w:p>
    <w:p w14:paraId="0CD86F32" w14:textId="77777777" w:rsidR="00355F2D" w:rsidRPr="00355F2D" w:rsidRDefault="00355F2D" w:rsidP="00355F2D">
      <w:pPr>
        <w:jc w:val="both"/>
        <w:rPr>
          <w:rFonts w:ascii="Century Gothic" w:hAnsi="Century Gothic"/>
        </w:rPr>
      </w:pPr>
      <w:r w:rsidRPr="00355F2D">
        <w:rPr>
          <w:rFonts w:ascii="Century Gothic" w:hAnsi="Century Gothic"/>
        </w:rPr>
        <w:t>-</w:t>
      </w:r>
      <w:r w:rsidRPr="00355F2D">
        <w:rPr>
          <w:rFonts w:ascii="Century Gothic" w:hAnsi="Century Gothic"/>
        </w:rPr>
        <w:tab/>
        <w:t>какъв сигнал се дава към частните инвеститори с включването на държавата на един конкурентен пазар;</w:t>
      </w:r>
    </w:p>
    <w:p w14:paraId="662E94F9" w14:textId="77777777" w:rsidR="00355F2D" w:rsidRPr="00355F2D" w:rsidRDefault="00355F2D" w:rsidP="00355F2D">
      <w:pPr>
        <w:jc w:val="both"/>
        <w:rPr>
          <w:rFonts w:ascii="Century Gothic" w:hAnsi="Century Gothic"/>
        </w:rPr>
      </w:pPr>
      <w:r w:rsidRPr="00355F2D">
        <w:rPr>
          <w:rFonts w:ascii="Century Gothic" w:hAnsi="Century Gothic"/>
        </w:rPr>
        <w:t>-</w:t>
      </w:r>
      <w:r w:rsidRPr="00355F2D">
        <w:rPr>
          <w:rFonts w:ascii="Century Gothic" w:hAnsi="Century Gothic"/>
        </w:rPr>
        <w:tab/>
        <w:t>по какъв начин ще се постигнат целите на ЕС, заложени в ИВУ за възстановяване и устойчиво развитие на икономиката, стимулиране на частната инициатива и насърчаване на инвестициите;</w:t>
      </w:r>
    </w:p>
    <w:p w14:paraId="2415FD0F" w14:textId="77777777" w:rsidR="00355F2D" w:rsidRPr="00355F2D" w:rsidRDefault="00355F2D" w:rsidP="00355F2D">
      <w:pPr>
        <w:jc w:val="both"/>
        <w:rPr>
          <w:rFonts w:ascii="Century Gothic" w:hAnsi="Century Gothic"/>
        </w:rPr>
      </w:pPr>
      <w:r w:rsidRPr="00355F2D">
        <w:rPr>
          <w:rFonts w:ascii="Century Gothic" w:hAnsi="Century Gothic"/>
        </w:rPr>
        <w:t>-</w:t>
      </w:r>
      <w:r w:rsidRPr="00355F2D">
        <w:rPr>
          <w:rFonts w:ascii="Century Gothic" w:hAnsi="Century Gothic"/>
        </w:rPr>
        <w:tab/>
        <w:t>какви реформи ще бъдат направени, за да се повиши конкуренцията и да се стимулират инвестициите;</w:t>
      </w:r>
    </w:p>
    <w:p w14:paraId="7A99F1CD" w14:textId="77777777" w:rsidR="00355F2D" w:rsidRPr="00355F2D" w:rsidRDefault="00355F2D" w:rsidP="00355F2D">
      <w:pPr>
        <w:jc w:val="both"/>
        <w:rPr>
          <w:rFonts w:ascii="Century Gothic" w:hAnsi="Century Gothic"/>
        </w:rPr>
      </w:pPr>
      <w:r w:rsidRPr="00355F2D">
        <w:rPr>
          <w:rFonts w:ascii="Century Gothic" w:hAnsi="Century Gothic"/>
        </w:rPr>
        <w:t>-</w:t>
      </w:r>
      <w:r w:rsidRPr="00355F2D">
        <w:rPr>
          <w:rFonts w:ascii="Century Gothic" w:hAnsi="Century Gothic"/>
        </w:rPr>
        <w:tab/>
        <w:t xml:space="preserve">липсата на прозрачност по отношение на вида държавна помощ, който ще бъде </w:t>
      </w:r>
      <w:proofErr w:type="spellStart"/>
      <w:r w:rsidRPr="00355F2D">
        <w:rPr>
          <w:rFonts w:ascii="Century Gothic" w:hAnsi="Century Gothic"/>
        </w:rPr>
        <w:t>нотифициран</w:t>
      </w:r>
      <w:proofErr w:type="spellEnd"/>
      <w:r w:rsidRPr="00355F2D">
        <w:rPr>
          <w:rFonts w:ascii="Century Gothic" w:hAnsi="Century Gothic"/>
        </w:rPr>
        <w:t>, което в предишните варианти на проекта беше ясно определено, с оглед гарантиране поддържането и развитието на изградената мрежа, особено в слабонаселените и отдалечени райони;</w:t>
      </w:r>
    </w:p>
    <w:p w14:paraId="7EDE3F01" w14:textId="77777777" w:rsidR="00355F2D" w:rsidRPr="00355F2D" w:rsidRDefault="00355F2D" w:rsidP="00355F2D">
      <w:pPr>
        <w:jc w:val="both"/>
        <w:rPr>
          <w:rFonts w:ascii="Century Gothic" w:hAnsi="Century Gothic"/>
        </w:rPr>
      </w:pPr>
      <w:r w:rsidRPr="00355F2D">
        <w:rPr>
          <w:rFonts w:ascii="Century Gothic" w:hAnsi="Century Gothic"/>
        </w:rPr>
        <w:t>-</w:t>
      </w:r>
      <w:r w:rsidRPr="00355F2D">
        <w:rPr>
          <w:rFonts w:ascii="Century Gothic" w:hAnsi="Century Gothic"/>
        </w:rPr>
        <w:tab/>
        <w:t>има ли готовност държавата да се ангажира с непривични за нея дейности по проектиране и изграждане на електронни съобщителни мрежи в такъв голям мащаб за толкова кратък период, предвид съществуващия вече натрупан негативен опит в подобни проекти през предходните програмни периоди и дефицита на професионалисти с такъв профил;</w:t>
      </w:r>
    </w:p>
    <w:p w14:paraId="2F23FB2E" w14:textId="77777777" w:rsidR="00355F2D" w:rsidRPr="00355F2D" w:rsidRDefault="00355F2D" w:rsidP="00355F2D">
      <w:pPr>
        <w:jc w:val="both"/>
        <w:rPr>
          <w:rFonts w:ascii="Century Gothic" w:hAnsi="Century Gothic"/>
        </w:rPr>
      </w:pPr>
      <w:r w:rsidRPr="00355F2D">
        <w:rPr>
          <w:rFonts w:ascii="Century Gothic" w:hAnsi="Century Gothic"/>
        </w:rPr>
        <w:t>-</w:t>
      </w:r>
      <w:r w:rsidRPr="00355F2D">
        <w:rPr>
          <w:rFonts w:ascii="Century Gothic" w:hAnsi="Century Gothic"/>
        </w:rPr>
        <w:tab/>
        <w:t>с какви средства ще се обезпечи в бъдеще поддържането и модернизацията на изградената държавна мрежа, предвид факта, че само за 2020 г. електронните съобщителни предприятия са инвестирали в развитие и изграждане на мрежи близо 430 милиона лева.</w:t>
      </w:r>
    </w:p>
    <w:p w14:paraId="1267EA42" w14:textId="77777777" w:rsidR="00355F2D" w:rsidRPr="00355F2D" w:rsidRDefault="00355F2D" w:rsidP="00355F2D">
      <w:pPr>
        <w:jc w:val="both"/>
        <w:rPr>
          <w:rFonts w:ascii="Century Gothic" w:hAnsi="Century Gothic"/>
        </w:rPr>
      </w:pPr>
    </w:p>
    <w:p w14:paraId="37929196" w14:textId="77777777" w:rsidR="00355F2D" w:rsidRPr="00355F2D" w:rsidRDefault="00355F2D" w:rsidP="00355F2D">
      <w:pPr>
        <w:jc w:val="both"/>
        <w:rPr>
          <w:rFonts w:ascii="Century Gothic" w:hAnsi="Century Gothic"/>
        </w:rPr>
      </w:pPr>
      <w:r w:rsidRPr="00355F2D">
        <w:rPr>
          <w:rFonts w:ascii="Century Gothic" w:hAnsi="Century Gothic"/>
        </w:rPr>
        <w:lastRenderedPageBreak/>
        <w:t>3.3. Преработените цели в „Дейност 2“ - Подобряване на свързаността на периферните слабо населени и селски райони и разгръщане на мрежи с много голям капацитет са съществено занижени. Броят на населените места с нови възли за достъп от 500 е намален на 185, а възможността от този вид свързаност да се възползват 200 000 домакинства се редуцира на 350 хил. жители.</w:t>
      </w:r>
    </w:p>
    <w:p w14:paraId="0CE7F665" w14:textId="77777777" w:rsidR="00355F2D" w:rsidRPr="00355F2D" w:rsidRDefault="00355F2D" w:rsidP="00355F2D">
      <w:pPr>
        <w:jc w:val="both"/>
        <w:rPr>
          <w:rFonts w:ascii="Century Gothic" w:hAnsi="Century Gothic"/>
        </w:rPr>
      </w:pPr>
    </w:p>
    <w:p w14:paraId="39E43E6F" w14:textId="77777777" w:rsidR="00355F2D" w:rsidRPr="00355F2D" w:rsidRDefault="00355F2D" w:rsidP="00355F2D">
      <w:pPr>
        <w:jc w:val="both"/>
        <w:rPr>
          <w:rFonts w:ascii="Century Gothic" w:hAnsi="Century Gothic"/>
        </w:rPr>
      </w:pPr>
      <w:r w:rsidRPr="00355F2D">
        <w:rPr>
          <w:rFonts w:ascii="Century Gothic" w:hAnsi="Century Gothic"/>
        </w:rPr>
        <w:t>3.4. Необяснимо е при изискванията на ИВУ 37% от средствата да бъдат насочени към „зелен” преход и съвременната енергийна криза, в която се намираме, да отпадането направлението за „Зелена свързаност”, осъществявано чрез изграждане на соларни панели на базовите станции.</w:t>
      </w:r>
    </w:p>
    <w:p w14:paraId="043BF594" w14:textId="77777777" w:rsidR="00355F2D" w:rsidRPr="00355F2D" w:rsidRDefault="00355F2D" w:rsidP="00355F2D">
      <w:pPr>
        <w:jc w:val="both"/>
        <w:rPr>
          <w:rFonts w:ascii="Century Gothic" w:hAnsi="Century Gothic"/>
        </w:rPr>
      </w:pPr>
    </w:p>
    <w:p w14:paraId="0B48ECA9" w14:textId="77777777" w:rsidR="00355F2D" w:rsidRPr="00355F2D" w:rsidRDefault="00355F2D" w:rsidP="00355F2D">
      <w:pPr>
        <w:jc w:val="both"/>
        <w:rPr>
          <w:rFonts w:ascii="Century Gothic" w:hAnsi="Century Gothic"/>
        </w:rPr>
      </w:pPr>
      <w:r w:rsidRPr="00355F2D">
        <w:rPr>
          <w:rFonts w:ascii="Century Gothic" w:hAnsi="Century Gothic"/>
        </w:rPr>
        <w:t>3.5. Поради факта, че развитието на мрежите от пето поколение са отпаднали от плана, трябва да имате предвид, че планираната от телекомите инвестиция от 300 млн. лева вече няма да бъде направена.</w:t>
      </w:r>
    </w:p>
    <w:p w14:paraId="07ABC439" w14:textId="77777777" w:rsidR="00355F2D" w:rsidRPr="00355F2D" w:rsidRDefault="00355F2D" w:rsidP="00355F2D">
      <w:pPr>
        <w:jc w:val="both"/>
        <w:rPr>
          <w:rFonts w:ascii="Century Gothic" w:hAnsi="Century Gothic"/>
        </w:rPr>
      </w:pPr>
    </w:p>
    <w:p w14:paraId="6393745B" w14:textId="77777777" w:rsidR="00355F2D" w:rsidRPr="00355F2D" w:rsidRDefault="00355F2D" w:rsidP="00355F2D">
      <w:pPr>
        <w:jc w:val="both"/>
        <w:rPr>
          <w:rFonts w:ascii="Century Gothic" w:hAnsi="Century Gothic"/>
        </w:rPr>
      </w:pPr>
      <w:r w:rsidRPr="00355F2D">
        <w:rPr>
          <w:rFonts w:ascii="Century Gothic" w:hAnsi="Century Gothic"/>
        </w:rPr>
        <w:t xml:space="preserve">3.6. Без сериозен фокус върху развитието на 5G, няма връзка между обявените реформи, като предоставянето на спектър в 700 </w:t>
      </w:r>
      <w:proofErr w:type="spellStart"/>
      <w:r w:rsidRPr="00355F2D">
        <w:rPr>
          <w:rFonts w:ascii="Century Gothic" w:hAnsi="Century Gothic"/>
        </w:rPr>
        <w:t>MHz</w:t>
      </w:r>
      <w:proofErr w:type="spellEnd"/>
      <w:r w:rsidRPr="00355F2D">
        <w:rPr>
          <w:rFonts w:ascii="Century Gothic" w:hAnsi="Century Gothic"/>
        </w:rPr>
        <w:t xml:space="preserve"> и облекчаването на строителния режим на базовите станции с предложените активности в „Дейност 1“ и „Дейност 2“.</w:t>
      </w:r>
    </w:p>
    <w:p w14:paraId="2AE3A2FF" w14:textId="77777777" w:rsidR="00355F2D" w:rsidRPr="00355F2D" w:rsidRDefault="00355F2D" w:rsidP="00355F2D">
      <w:pPr>
        <w:jc w:val="both"/>
        <w:rPr>
          <w:rFonts w:ascii="Century Gothic" w:hAnsi="Century Gothic"/>
        </w:rPr>
      </w:pPr>
    </w:p>
    <w:p w14:paraId="79F0E59A" w14:textId="77777777" w:rsidR="00355F2D" w:rsidRPr="00355F2D" w:rsidRDefault="00355F2D" w:rsidP="00355F2D">
      <w:pPr>
        <w:jc w:val="both"/>
        <w:rPr>
          <w:rFonts w:ascii="Century Gothic" w:hAnsi="Century Gothic"/>
        </w:rPr>
      </w:pPr>
      <w:r w:rsidRPr="00355F2D">
        <w:rPr>
          <w:rFonts w:ascii="Century Gothic" w:hAnsi="Century Gothic"/>
        </w:rPr>
        <w:t xml:space="preserve">Заложено е ограничение за изграждане на 5G свързаност само в честотен спектър 700-900 </w:t>
      </w:r>
      <w:proofErr w:type="spellStart"/>
      <w:r w:rsidRPr="00355F2D">
        <w:rPr>
          <w:rFonts w:ascii="Century Gothic" w:hAnsi="Century Gothic"/>
        </w:rPr>
        <w:t>MHz</w:t>
      </w:r>
      <w:proofErr w:type="spellEnd"/>
      <w:r w:rsidRPr="00355F2D">
        <w:rPr>
          <w:rFonts w:ascii="Century Gothic" w:hAnsi="Century Gothic"/>
        </w:rPr>
        <w:t>, което е ограничаващо за операторите, които могат да предоставят такива скорости и в друг честотен диапазон.</w:t>
      </w:r>
    </w:p>
    <w:p w14:paraId="29A54466" w14:textId="77777777" w:rsidR="00355F2D" w:rsidRPr="00355F2D" w:rsidRDefault="00355F2D" w:rsidP="00355F2D">
      <w:pPr>
        <w:jc w:val="both"/>
        <w:rPr>
          <w:rFonts w:ascii="Century Gothic" w:hAnsi="Century Gothic"/>
        </w:rPr>
      </w:pPr>
    </w:p>
    <w:p w14:paraId="443DD5D8" w14:textId="77777777" w:rsidR="00355F2D" w:rsidRPr="00355F2D" w:rsidRDefault="00355F2D" w:rsidP="00355F2D">
      <w:pPr>
        <w:jc w:val="both"/>
        <w:rPr>
          <w:rFonts w:ascii="Century Gothic" w:hAnsi="Century Gothic"/>
        </w:rPr>
      </w:pPr>
      <w:r w:rsidRPr="00355F2D">
        <w:rPr>
          <w:rFonts w:ascii="Century Gothic" w:hAnsi="Century Gothic"/>
        </w:rPr>
        <w:t>Предвид гореизложеното, бихме искали да изразим сериозните си съмнения, че частта „Цифрова свързаност“ в настоящия си вид наистина ще допринесе за разработването и прилагането на ефективна политика и регулаторна рамка, за ефикасно използване на радиочестотния спектър за развитието на 5G мрежи и услуги и за създаването на благоприятна инвестиционна среда.</w:t>
      </w:r>
    </w:p>
    <w:p w14:paraId="1341A2AD" w14:textId="77777777" w:rsidR="00355F2D" w:rsidRPr="00355F2D" w:rsidRDefault="00355F2D" w:rsidP="00355F2D">
      <w:pPr>
        <w:jc w:val="both"/>
        <w:rPr>
          <w:rFonts w:ascii="Century Gothic" w:hAnsi="Century Gothic"/>
        </w:rPr>
      </w:pPr>
    </w:p>
    <w:p w14:paraId="580A8D34" w14:textId="77777777" w:rsidR="00355F2D" w:rsidRPr="00355F2D" w:rsidRDefault="00355F2D" w:rsidP="00355F2D">
      <w:pPr>
        <w:jc w:val="both"/>
        <w:rPr>
          <w:rFonts w:ascii="Century Gothic" w:hAnsi="Century Gothic"/>
        </w:rPr>
      </w:pPr>
    </w:p>
    <w:p w14:paraId="27D7F33C" w14:textId="77777777" w:rsidR="00355F2D" w:rsidRPr="00355F2D" w:rsidRDefault="00355F2D" w:rsidP="00355F2D">
      <w:pPr>
        <w:jc w:val="both"/>
        <w:rPr>
          <w:rFonts w:ascii="Century Gothic" w:hAnsi="Century Gothic"/>
        </w:rPr>
      </w:pPr>
      <w:r w:rsidRPr="00355F2D">
        <w:rPr>
          <w:rFonts w:ascii="Century Gothic" w:hAnsi="Century Gothic"/>
        </w:rPr>
        <w:lastRenderedPageBreak/>
        <w:t>С уважение:</w:t>
      </w:r>
    </w:p>
    <w:p w14:paraId="229B1B7E" w14:textId="77777777" w:rsidR="00355F2D" w:rsidRPr="00355F2D" w:rsidRDefault="00355F2D" w:rsidP="00355F2D">
      <w:pPr>
        <w:jc w:val="both"/>
        <w:rPr>
          <w:rFonts w:ascii="Century Gothic" w:hAnsi="Century Gothic"/>
        </w:rPr>
      </w:pPr>
    </w:p>
    <w:p w14:paraId="337A6A52" w14:textId="77777777" w:rsidR="00355F2D" w:rsidRPr="00355F2D" w:rsidRDefault="00355F2D" w:rsidP="00355F2D">
      <w:pPr>
        <w:jc w:val="both"/>
        <w:rPr>
          <w:rFonts w:ascii="Century Gothic" w:hAnsi="Century Gothic"/>
        </w:rPr>
      </w:pPr>
    </w:p>
    <w:p w14:paraId="7A4D9271" w14:textId="77777777" w:rsidR="00355F2D" w:rsidRPr="00355F2D" w:rsidRDefault="00355F2D" w:rsidP="00355F2D">
      <w:pPr>
        <w:jc w:val="both"/>
        <w:rPr>
          <w:rFonts w:ascii="Century Gothic" w:hAnsi="Century Gothic"/>
        </w:rPr>
      </w:pPr>
    </w:p>
    <w:p w14:paraId="0CF80445" w14:textId="77777777" w:rsidR="00355F2D" w:rsidRPr="00355F2D" w:rsidRDefault="00355F2D" w:rsidP="00355F2D">
      <w:pPr>
        <w:jc w:val="both"/>
        <w:rPr>
          <w:rFonts w:ascii="Century Gothic" w:hAnsi="Century Gothic"/>
        </w:rPr>
      </w:pPr>
      <w:r w:rsidRPr="00355F2D">
        <w:rPr>
          <w:rFonts w:ascii="Century Gothic" w:hAnsi="Century Gothic"/>
        </w:rPr>
        <w:t>Андреана Атанасова</w:t>
      </w:r>
    </w:p>
    <w:p w14:paraId="21C8916D" w14:textId="77777777" w:rsidR="00355F2D" w:rsidRPr="00355F2D" w:rsidRDefault="00355F2D" w:rsidP="00355F2D">
      <w:pPr>
        <w:jc w:val="both"/>
        <w:rPr>
          <w:rFonts w:ascii="Century Gothic" w:hAnsi="Century Gothic"/>
        </w:rPr>
      </w:pPr>
      <w:r w:rsidRPr="00355F2D">
        <w:rPr>
          <w:rFonts w:ascii="Century Gothic" w:hAnsi="Century Gothic"/>
        </w:rPr>
        <w:t>председател на УС</w:t>
      </w:r>
    </w:p>
    <w:sectPr w:rsidR="00355F2D" w:rsidRPr="00355F2D" w:rsidSect="00C70B28">
      <w:headerReference w:type="default" r:id="rId8"/>
      <w:footerReference w:type="default" r:id="rId9"/>
      <w:pgSz w:w="11906" w:h="16838"/>
      <w:pgMar w:top="-2410"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5B953" w14:textId="77777777" w:rsidR="00B030DE" w:rsidRDefault="00B030DE" w:rsidP="00884B7F">
      <w:pPr>
        <w:spacing w:after="0" w:line="240" w:lineRule="auto"/>
      </w:pPr>
      <w:r>
        <w:separator/>
      </w:r>
    </w:p>
  </w:endnote>
  <w:endnote w:type="continuationSeparator" w:id="0">
    <w:p w14:paraId="0023FCD8" w14:textId="77777777" w:rsidR="00B030DE" w:rsidRDefault="00B030DE" w:rsidP="00884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A1C4" w14:textId="77777777" w:rsidR="00DC67FB" w:rsidRPr="00C70B28" w:rsidRDefault="00DC67FB">
    <w:pPr>
      <w:pStyle w:val="Footer"/>
      <w:rPr>
        <w:rFonts w:ascii="Century Gothic" w:hAnsi="Century Gothic"/>
        <w:i/>
        <w:color w:val="7F7F7F"/>
        <w:sz w:val="18"/>
        <w:szCs w:val="18"/>
      </w:rPr>
    </w:pPr>
    <w:r w:rsidRPr="00C70B28">
      <w:rPr>
        <w:rFonts w:ascii="Century Gothic" w:hAnsi="Century Gothic"/>
        <w:i/>
        <w:color w:val="7F7F7F"/>
        <w:sz w:val="18"/>
        <w:szCs w:val="18"/>
      </w:rPr>
      <w:br/>
      <w:t>Адрес:</w:t>
    </w:r>
    <w:r w:rsidRPr="00C70B28">
      <w:rPr>
        <w:rFonts w:ascii="Century Gothic" w:hAnsi="Century Gothic"/>
        <w:i/>
        <w:color w:val="7F7F7F"/>
        <w:sz w:val="18"/>
        <w:szCs w:val="18"/>
      </w:rPr>
      <w:br/>
      <w:t>София 1407, ул. Кораб планина 8-10, ап.7</w:t>
    </w:r>
    <w:r>
      <w:rPr>
        <w:rFonts w:ascii="Century Gothic" w:hAnsi="Century Gothic"/>
        <w:i/>
        <w:color w:val="7F7F7F"/>
        <w:sz w:val="18"/>
        <w:szCs w:val="18"/>
      </w:rPr>
      <w:tab/>
    </w:r>
    <w:r w:rsidRPr="00C70B28">
      <w:rPr>
        <w:rFonts w:ascii="Century Gothic" w:hAnsi="Century Gothic"/>
        <w:i/>
        <w:color w:val="7F7F7F"/>
        <w:sz w:val="18"/>
        <w:szCs w:val="18"/>
      </w:rPr>
      <w:tab/>
    </w:r>
    <w:hyperlink r:id="rId1" w:history="1">
      <w:r w:rsidRPr="00C70B28">
        <w:rPr>
          <w:rStyle w:val="Hyperlink"/>
          <w:rFonts w:ascii="Century Gothic" w:hAnsi="Century Gothic"/>
          <w:i/>
          <w:color w:val="FC0074"/>
          <w:sz w:val="18"/>
          <w:szCs w:val="18"/>
          <w:lang w:val="en-US"/>
        </w:rPr>
        <w:t>www.ati.bg</w:t>
      </w:r>
    </w:hyperlink>
    <w:r w:rsidRPr="00C70B28">
      <w:rPr>
        <w:rFonts w:ascii="Century Gothic" w:hAnsi="Century Gothic"/>
        <w:i/>
        <w:color w:val="FC0074"/>
        <w:sz w:val="18"/>
        <w:szCs w:val="18"/>
        <w:lang w:val="en-US"/>
      </w:rPr>
      <w:t xml:space="preserve">   </w:t>
    </w:r>
    <w:r w:rsidRPr="00C70B28">
      <w:rPr>
        <w:rFonts w:ascii="Century Gothic" w:hAnsi="Century Gothic"/>
        <w:i/>
        <w:color w:val="7F7F7F"/>
        <w:sz w:val="18"/>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EE6C1" w14:textId="77777777" w:rsidR="00B030DE" w:rsidRDefault="00B030DE" w:rsidP="00884B7F">
      <w:pPr>
        <w:spacing w:after="0" w:line="240" w:lineRule="auto"/>
      </w:pPr>
      <w:r>
        <w:separator/>
      </w:r>
    </w:p>
  </w:footnote>
  <w:footnote w:type="continuationSeparator" w:id="0">
    <w:p w14:paraId="7965BA1B" w14:textId="77777777" w:rsidR="00B030DE" w:rsidRDefault="00B030DE" w:rsidP="00884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583E" w14:textId="77777777" w:rsidR="00DC67FB" w:rsidRDefault="00E879F8" w:rsidP="005913F7">
    <w:pPr>
      <w:pStyle w:val="Header"/>
      <w:tabs>
        <w:tab w:val="clear" w:pos="4536"/>
        <w:tab w:val="clear" w:pos="9072"/>
        <w:tab w:val="left" w:pos="4680"/>
        <w:tab w:val="left" w:pos="5640"/>
      </w:tabs>
      <w:ind w:left="-284" w:hanging="425"/>
    </w:pPr>
    <w:r>
      <w:rPr>
        <w:noProof/>
        <w:lang w:eastAsia="bg-BG"/>
      </w:rPr>
      <w:t xml:space="preserve"> </w:t>
    </w:r>
    <w:r w:rsidR="00DC67FB">
      <w:rPr>
        <w:noProof/>
        <w:lang w:eastAsia="bg-BG"/>
      </w:rPr>
      <w:drawing>
        <wp:inline distT="0" distB="0" distL="0" distR="0" wp14:anchorId="353DCCB1" wp14:editId="1EE27AF1">
          <wp:extent cx="2343150" cy="657225"/>
          <wp:effectExtent l="19050" t="0" r="0" b="0"/>
          <wp:docPr id="2" name="Picture 1" descr="ATI_BG_Logoty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_BG_Logotype_rgb"/>
                  <pic:cNvPicPr>
                    <a:picLocks noChangeAspect="1" noChangeArrowheads="1"/>
                  </pic:cNvPicPr>
                </pic:nvPicPr>
                <pic:blipFill>
                  <a:blip r:embed="rId1"/>
                  <a:srcRect/>
                  <a:stretch>
                    <a:fillRect/>
                  </a:stretch>
                </pic:blipFill>
                <pic:spPr bwMode="auto">
                  <a:xfrm>
                    <a:off x="0" y="0"/>
                    <a:ext cx="2343150" cy="657225"/>
                  </a:xfrm>
                  <a:prstGeom prst="rect">
                    <a:avLst/>
                  </a:prstGeom>
                  <a:noFill/>
                  <a:ln w="9525">
                    <a:noFill/>
                    <a:miter lim="800000"/>
                    <a:headEnd/>
                    <a:tailEnd/>
                  </a:ln>
                </pic:spPr>
              </pic:pic>
            </a:graphicData>
          </a:graphic>
        </wp:inline>
      </w:drawing>
    </w:r>
    <w:r w:rsidR="00DC67FB">
      <w:tab/>
    </w:r>
    <w:r w:rsidR="005913F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288E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E535411"/>
    <w:multiLevelType w:val="hybridMultilevel"/>
    <w:tmpl w:val="389AE22C"/>
    <w:lvl w:ilvl="0" w:tplc="4484D3B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FD533C0"/>
    <w:multiLevelType w:val="hybridMultilevel"/>
    <w:tmpl w:val="152226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63C30D68"/>
    <w:multiLevelType w:val="hybridMultilevel"/>
    <w:tmpl w:val="91A85BFA"/>
    <w:lvl w:ilvl="0" w:tplc="B4A6BAB6">
      <w:start w:val="3"/>
      <w:numFmt w:val="bullet"/>
      <w:lvlText w:val="-"/>
      <w:lvlJc w:val="left"/>
      <w:pPr>
        <w:ind w:left="408" w:hanging="360"/>
      </w:pPr>
      <w:rPr>
        <w:rFonts w:ascii="Calibri" w:eastAsiaTheme="minorHAnsi" w:hAnsi="Calibri" w:cstheme="minorBidi" w:hint="default"/>
      </w:rPr>
    </w:lvl>
    <w:lvl w:ilvl="1" w:tplc="04020003" w:tentative="1">
      <w:start w:val="1"/>
      <w:numFmt w:val="bullet"/>
      <w:lvlText w:val="o"/>
      <w:lvlJc w:val="left"/>
      <w:pPr>
        <w:ind w:left="1128" w:hanging="360"/>
      </w:pPr>
      <w:rPr>
        <w:rFonts w:ascii="Courier New" w:hAnsi="Courier New" w:cs="Courier New" w:hint="default"/>
      </w:rPr>
    </w:lvl>
    <w:lvl w:ilvl="2" w:tplc="04020005" w:tentative="1">
      <w:start w:val="1"/>
      <w:numFmt w:val="bullet"/>
      <w:lvlText w:val=""/>
      <w:lvlJc w:val="left"/>
      <w:pPr>
        <w:ind w:left="1848" w:hanging="360"/>
      </w:pPr>
      <w:rPr>
        <w:rFonts w:ascii="Wingdings" w:hAnsi="Wingdings" w:hint="default"/>
      </w:rPr>
    </w:lvl>
    <w:lvl w:ilvl="3" w:tplc="04020001" w:tentative="1">
      <w:start w:val="1"/>
      <w:numFmt w:val="bullet"/>
      <w:lvlText w:val=""/>
      <w:lvlJc w:val="left"/>
      <w:pPr>
        <w:ind w:left="2568" w:hanging="360"/>
      </w:pPr>
      <w:rPr>
        <w:rFonts w:ascii="Symbol" w:hAnsi="Symbol" w:hint="default"/>
      </w:rPr>
    </w:lvl>
    <w:lvl w:ilvl="4" w:tplc="04020003" w:tentative="1">
      <w:start w:val="1"/>
      <w:numFmt w:val="bullet"/>
      <w:lvlText w:val="o"/>
      <w:lvlJc w:val="left"/>
      <w:pPr>
        <w:ind w:left="3288" w:hanging="360"/>
      </w:pPr>
      <w:rPr>
        <w:rFonts w:ascii="Courier New" w:hAnsi="Courier New" w:cs="Courier New" w:hint="default"/>
      </w:rPr>
    </w:lvl>
    <w:lvl w:ilvl="5" w:tplc="04020005" w:tentative="1">
      <w:start w:val="1"/>
      <w:numFmt w:val="bullet"/>
      <w:lvlText w:val=""/>
      <w:lvlJc w:val="left"/>
      <w:pPr>
        <w:ind w:left="4008" w:hanging="360"/>
      </w:pPr>
      <w:rPr>
        <w:rFonts w:ascii="Wingdings" w:hAnsi="Wingdings" w:hint="default"/>
      </w:rPr>
    </w:lvl>
    <w:lvl w:ilvl="6" w:tplc="04020001" w:tentative="1">
      <w:start w:val="1"/>
      <w:numFmt w:val="bullet"/>
      <w:lvlText w:val=""/>
      <w:lvlJc w:val="left"/>
      <w:pPr>
        <w:ind w:left="4728" w:hanging="360"/>
      </w:pPr>
      <w:rPr>
        <w:rFonts w:ascii="Symbol" w:hAnsi="Symbol" w:hint="default"/>
      </w:rPr>
    </w:lvl>
    <w:lvl w:ilvl="7" w:tplc="04020003" w:tentative="1">
      <w:start w:val="1"/>
      <w:numFmt w:val="bullet"/>
      <w:lvlText w:val="o"/>
      <w:lvlJc w:val="left"/>
      <w:pPr>
        <w:ind w:left="5448" w:hanging="360"/>
      </w:pPr>
      <w:rPr>
        <w:rFonts w:ascii="Courier New" w:hAnsi="Courier New" w:cs="Courier New" w:hint="default"/>
      </w:rPr>
    </w:lvl>
    <w:lvl w:ilvl="8" w:tplc="04020005" w:tentative="1">
      <w:start w:val="1"/>
      <w:numFmt w:val="bullet"/>
      <w:lvlText w:val=""/>
      <w:lvlJc w:val="left"/>
      <w:pPr>
        <w:ind w:left="6168" w:hanging="360"/>
      </w:pPr>
      <w:rPr>
        <w:rFonts w:ascii="Wingdings" w:hAnsi="Wingdings" w:hint="default"/>
      </w:rPr>
    </w:lvl>
  </w:abstractNum>
  <w:num w:numId="1" w16cid:durableId="673456748">
    <w:abstractNumId w:val="0"/>
  </w:num>
  <w:num w:numId="2" w16cid:durableId="505480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3873666">
    <w:abstractNumId w:val="1"/>
  </w:num>
  <w:num w:numId="4" w16cid:durableId="1916433462">
    <w:abstractNumId w:val="2"/>
  </w:num>
  <w:num w:numId="5" w16cid:durableId="20088984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14C7"/>
    <w:rsid w:val="00024622"/>
    <w:rsid w:val="000272D5"/>
    <w:rsid w:val="0006021F"/>
    <w:rsid w:val="00086423"/>
    <w:rsid w:val="000A531B"/>
    <w:rsid w:val="000B4659"/>
    <w:rsid w:val="000C5888"/>
    <w:rsid w:val="00167071"/>
    <w:rsid w:val="001A6E0F"/>
    <w:rsid w:val="001E5B20"/>
    <w:rsid w:val="001F07B7"/>
    <w:rsid w:val="002103FF"/>
    <w:rsid w:val="002A5BAD"/>
    <w:rsid w:val="00314608"/>
    <w:rsid w:val="00355F2D"/>
    <w:rsid w:val="003C1BE4"/>
    <w:rsid w:val="003D5EE8"/>
    <w:rsid w:val="003F3101"/>
    <w:rsid w:val="004019BE"/>
    <w:rsid w:val="004304FE"/>
    <w:rsid w:val="004344AB"/>
    <w:rsid w:val="004414D8"/>
    <w:rsid w:val="00470658"/>
    <w:rsid w:val="004A17EE"/>
    <w:rsid w:val="004B1473"/>
    <w:rsid w:val="0050292E"/>
    <w:rsid w:val="00531780"/>
    <w:rsid w:val="005702EE"/>
    <w:rsid w:val="00573AA0"/>
    <w:rsid w:val="00590249"/>
    <w:rsid w:val="005913F7"/>
    <w:rsid w:val="005B4A16"/>
    <w:rsid w:val="005D7B57"/>
    <w:rsid w:val="006C5A1B"/>
    <w:rsid w:val="006D6C16"/>
    <w:rsid w:val="00754459"/>
    <w:rsid w:val="00791F10"/>
    <w:rsid w:val="0079449D"/>
    <w:rsid w:val="007F4ACF"/>
    <w:rsid w:val="00802F90"/>
    <w:rsid w:val="00827A30"/>
    <w:rsid w:val="0084080A"/>
    <w:rsid w:val="00854827"/>
    <w:rsid w:val="00870938"/>
    <w:rsid w:val="00873003"/>
    <w:rsid w:val="00884B7F"/>
    <w:rsid w:val="008940F2"/>
    <w:rsid w:val="008E2469"/>
    <w:rsid w:val="008E456C"/>
    <w:rsid w:val="00902372"/>
    <w:rsid w:val="009276DF"/>
    <w:rsid w:val="009C5114"/>
    <w:rsid w:val="00A06F7E"/>
    <w:rsid w:val="00A150F7"/>
    <w:rsid w:val="00A66B3A"/>
    <w:rsid w:val="00A852CC"/>
    <w:rsid w:val="00A90FD5"/>
    <w:rsid w:val="00A962DF"/>
    <w:rsid w:val="00AA5CEA"/>
    <w:rsid w:val="00B030DE"/>
    <w:rsid w:val="00B167DD"/>
    <w:rsid w:val="00B74DE8"/>
    <w:rsid w:val="00BE3FC7"/>
    <w:rsid w:val="00BF0D09"/>
    <w:rsid w:val="00C70B28"/>
    <w:rsid w:val="00C9282E"/>
    <w:rsid w:val="00CB36A7"/>
    <w:rsid w:val="00CE79B4"/>
    <w:rsid w:val="00D066C1"/>
    <w:rsid w:val="00D46605"/>
    <w:rsid w:val="00D512C4"/>
    <w:rsid w:val="00D65284"/>
    <w:rsid w:val="00DA7CD4"/>
    <w:rsid w:val="00DC67FB"/>
    <w:rsid w:val="00E61420"/>
    <w:rsid w:val="00E86558"/>
    <w:rsid w:val="00E879F8"/>
    <w:rsid w:val="00E92454"/>
    <w:rsid w:val="00E97C68"/>
    <w:rsid w:val="00EA14C7"/>
    <w:rsid w:val="00EA45AA"/>
    <w:rsid w:val="00ED5070"/>
    <w:rsid w:val="00F2035E"/>
    <w:rsid w:val="00F4736A"/>
    <w:rsid w:val="00F5733D"/>
    <w:rsid w:val="00F575EF"/>
    <w:rsid w:val="00F8153A"/>
    <w:rsid w:val="00F95DD2"/>
    <w:rsid w:val="00F96F1D"/>
    <w:rsid w:val="00FD47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3FAE4"/>
  <w15:docId w15:val="{363B4515-6836-2147-8455-0974B469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D0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B7F"/>
    <w:pPr>
      <w:tabs>
        <w:tab w:val="center" w:pos="4536"/>
        <w:tab w:val="right" w:pos="9072"/>
      </w:tabs>
    </w:pPr>
  </w:style>
  <w:style w:type="character" w:customStyle="1" w:styleId="HeaderChar">
    <w:name w:val="Header Char"/>
    <w:link w:val="Header"/>
    <w:uiPriority w:val="99"/>
    <w:rsid w:val="00884B7F"/>
    <w:rPr>
      <w:sz w:val="22"/>
      <w:szCs w:val="22"/>
      <w:lang w:eastAsia="en-US"/>
    </w:rPr>
  </w:style>
  <w:style w:type="paragraph" w:styleId="Footer">
    <w:name w:val="footer"/>
    <w:basedOn w:val="Normal"/>
    <w:link w:val="FooterChar"/>
    <w:uiPriority w:val="99"/>
    <w:unhideWhenUsed/>
    <w:rsid w:val="00884B7F"/>
    <w:pPr>
      <w:tabs>
        <w:tab w:val="center" w:pos="4536"/>
        <w:tab w:val="right" w:pos="9072"/>
      </w:tabs>
    </w:pPr>
  </w:style>
  <w:style w:type="character" w:customStyle="1" w:styleId="FooterChar">
    <w:name w:val="Footer Char"/>
    <w:link w:val="Footer"/>
    <w:uiPriority w:val="99"/>
    <w:rsid w:val="00884B7F"/>
    <w:rPr>
      <w:sz w:val="22"/>
      <w:szCs w:val="22"/>
      <w:lang w:eastAsia="en-US"/>
    </w:rPr>
  </w:style>
  <w:style w:type="paragraph" w:styleId="BalloonText">
    <w:name w:val="Balloon Text"/>
    <w:basedOn w:val="Normal"/>
    <w:link w:val="BalloonTextChar"/>
    <w:uiPriority w:val="99"/>
    <w:semiHidden/>
    <w:unhideWhenUsed/>
    <w:rsid w:val="00884B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4B7F"/>
    <w:rPr>
      <w:rFonts w:ascii="Tahoma" w:hAnsi="Tahoma" w:cs="Tahoma"/>
      <w:sz w:val="16"/>
      <w:szCs w:val="16"/>
      <w:lang w:eastAsia="en-US"/>
    </w:rPr>
  </w:style>
  <w:style w:type="character" w:styleId="Hyperlink">
    <w:name w:val="Hyperlink"/>
    <w:uiPriority w:val="99"/>
    <w:unhideWhenUsed/>
    <w:rsid w:val="00884B7F"/>
    <w:rPr>
      <w:color w:val="0000FF"/>
      <w:u w:val="single"/>
    </w:rPr>
  </w:style>
  <w:style w:type="paragraph" w:styleId="FootnoteText">
    <w:name w:val="footnote text"/>
    <w:basedOn w:val="Normal"/>
    <w:link w:val="FootnoteTextChar"/>
    <w:uiPriority w:val="99"/>
    <w:semiHidden/>
    <w:unhideWhenUsed/>
    <w:rsid w:val="004A17EE"/>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4A17EE"/>
    <w:rPr>
      <w:rFonts w:ascii="Times New Roman" w:eastAsia="Times New Roman" w:hAnsi="Times New Roman"/>
      <w:lang w:eastAsia="en-US"/>
    </w:rPr>
  </w:style>
  <w:style w:type="paragraph" w:styleId="CommentText">
    <w:name w:val="annotation text"/>
    <w:basedOn w:val="Normal"/>
    <w:link w:val="CommentTextChar"/>
    <w:uiPriority w:val="99"/>
    <w:semiHidden/>
    <w:unhideWhenUsed/>
    <w:rsid w:val="004A17EE"/>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A17EE"/>
    <w:rPr>
      <w:rFonts w:ascii="Times New Roman" w:eastAsia="Times New Roman" w:hAnsi="Times New Roman"/>
      <w:lang w:eastAsia="en-US"/>
    </w:rPr>
  </w:style>
  <w:style w:type="paragraph" w:styleId="ListParagraph">
    <w:name w:val="List Paragraph"/>
    <w:basedOn w:val="Normal"/>
    <w:uiPriority w:val="34"/>
    <w:qFormat/>
    <w:rsid w:val="004A17EE"/>
    <w:pPr>
      <w:spacing w:after="0" w:line="240" w:lineRule="auto"/>
      <w:ind w:left="720"/>
      <w:contextualSpacing/>
    </w:pPr>
    <w:rPr>
      <w:rFonts w:ascii="Times New Roman" w:eastAsia="Times New Roman" w:hAnsi="Times New Roman"/>
      <w:sz w:val="24"/>
      <w:szCs w:val="24"/>
    </w:rPr>
  </w:style>
  <w:style w:type="character" w:styleId="FootnoteReference">
    <w:name w:val="footnote reference"/>
    <w:basedOn w:val="DefaultParagraphFont"/>
    <w:uiPriority w:val="99"/>
    <w:semiHidden/>
    <w:unhideWhenUsed/>
    <w:rsid w:val="004A17EE"/>
    <w:rPr>
      <w:vertAlign w:val="superscript"/>
    </w:rPr>
  </w:style>
  <w:style w:type="character" w:styleId="CommentReference">
    <w:name w:val="annotation reference"/>
    <w:basedOn w:val="DefaultParagraphFont"/>
    <w:uiPriority w:val="99"/>
    <w:semiHidden/>
    <w:unhideWhenUsed/>
    <w:rsid w:val="004A17EE"/>
    <w:rPr>
      <w:sz w:val="16"/>
      <w:szCs w:val="16"/>
    </w:rPr>
  </w:style>
  <w:style w:type="character" w:styleId="Strong">
    <w:name w:val="Strong"/>
    <w:basedOn w:val="DefaultParagraphFont"/>
    <w:uiPriority w:val="22"/>
    <w:qFormat/>
    <w:rsid w:val="004A17EE"/>
    <w:rPr>
      <w:b/>
      <w:bCs/>
    </w:rPr>
  </w:style>
  <w:style w:type="paragraph" w:styleId="Revision">
    <w:name w:val="Revision"/>
    <w:hidden/>
    <w:uiPriority w:val="99"/>
    <w:semiHidden/>
    <w:rsid w:val="003D5EE8"/>
    <w:rPr>
      <w:sz w:val="22"/>
      <w:szCs w:val="22"/>
      <w:lang w:eastAsia="en-US"/>
    </w:rPr>
  </w:style>
  <w:style w:type="paragraph" w:styleId="CommentSubject">
    <w:name w:val="annotation subject"/>
    <w:basedOn w:val="CommentText"/>
    <w:next w:val="CommentText"/>
    <w:link w:val="CommentSubjectChar"/>
    <w:uiPriority w:val="99"/>
    <w:semiHidden/>
    <w:unhideWhenUsed/>
    <w:rsid w:val="005B4A16"/>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5B4A16"/>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72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ti.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99FE2-5CDC-4DFB-87A6-25418641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bacco</dc:creator>
  <cp:lastModifiedBy>Microsoft Office User</cp:lastModifiedBy>
  <cp:revision>6</cp:revision>
  <cp:lastPrinted>2022-02-25T13:10:00Z</cp:lastPrinted>
  <dcterms:created xsi:type="dcterms:W3CDTF">2022-05-12T10:26:00Z</dcterms:created>
  <dcterms:modified xsi:type="dcterms:W3CDTF">2022-05-13T09:25:00Z</dcterms:modified>
</cp:coreProperties>
</file>