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E3" w:rsidRPr="00F44131" w:rsidRDefault="001B54E3" w:rsidP="001B54E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B54E3" w:rsidRPr="00F44131" w:rsidRDefault="001B54E3" w:rsidP="001B54E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B54E3" w:rsidRPr="00F44131" w:rsidRDefault="001B54E3" w:rsidP="001B54E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B54E3" w:rsidRPr="00F44131" w:rsidRDefault="001B54E3" w:rsidP="001B54E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F44131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E8655" wp14:editId="4884635D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E3" w:rsidRPr="004F6479" w:rsidRDefault="001B54E3" w:rsidP="001B54E3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1B54E3" w:rsidRPr="004F6479" w:rsidRDefault="001B54E3" w:rsidP="001B54E3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4E8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1B54E3" w:rsidRPr="004F6479" w:rsidRDefault="001B54E3" w:rsidP="001B54E3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1B54E3" w:rsidRPr="004F6479" w:rsidRDefault="001B54E3" w:rsidP="001B54E3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54E3" w:rsidRPr="00F44131" w:rsidRDefault="001B54E3" w:rsidP="001B54E3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ЛЕЧЕБНИ ЗАВЕДЕНИЯ ЗА БОЛНИЧНА И ИЗВЪНБОЛНИЧНА ПОМОЩ И ЗДРАВНИ ЗАВЕДЕНИЯ В ОБЛАСТ СЛИВЕН КЪМ 31.12.</w:t>
      </w:r>
      <w:r w:rsidR="006F515B" w:rsidRPr="00F4413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2023</w:t>
      </w:r>
      <w:r w:rsidRPr="00F4413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Към 31.12.</w:t>
      </w:r>
      <w:r w:rsidR="006F515B"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2023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в област Сливен функционират 6 заведения за болнична помощ с </w:t>
      </w:r>
      <w:r w:rsidR="00C46870"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100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5 легла, като всички са болници (табл. 1).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Заведенията за извънболнична помощ са 48 с </w:t>
      </w:r>
      <w:r w:rsidR="00C46870"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легла, а другите лечебни и здравни заведения - </w:t>
      </w:r>
      <w:r w:rsidR="00C46870"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C46870"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 са без легла в тях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Заведенията за болнична помощ включват болници, центрове за кожно-венерически заболявания, центрове за психично здраве и комплексни онкологични центрове. Съгласно Закона за лечебните заведения болниците са многопрофилни и специализирани.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1B54E3" w:rsidRPr="00F44131" w:rsidRDefault="001B54E3" w:rsidP="00C46870">
      <w:pPr>
        <w:numPr>
          <w:ilvl w:val="0"/>
          <w:numId w:val="1"/>
        </w:numPr>
        <w:tabs>
          <w:tab w:val="left" w:pos="3123"/>
        </w:tabs>
        <w:spacing w:line="360" w:lineRule="auto"/>
        <w:ind w:hanging="720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Лечебни и здравни заведения в област Сливен към 31.12.</w:t>
      </w:r>
      <w:r w:rsidR="006F515B" w:rsidRPr="00F4413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2023</w:t>
      </w:r>
      <w:r w:rsidRPr="00F4413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:rsidR="001B54E3" w:rsidRPr="00F44131" w:rsidRDefault="001B54E3" w:rsidP="00C46870">
      <w:pPr>
        <w:tabs>
          <w:tab w:val="left" w:pos="3123"/>
        </w:tabs>
        <w:spacing w:line="360" w:lineRule="auto"/>
        <w:ind w:right="140" w:firstLine="567"/>
        <w:jc w:val="right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(Брой)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701"/>
        <w:gridCol w:w="1418"/>
      </w:tblGrid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C46870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C46870">
            <w:pPr>
              <w:tabs>
                <w:tab w:val="left" w:pos="3123"/>
              </w:tabs>
              <w:spacing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Заведения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C46870">
            <w:pPr>
              <w:tabs>
                <w:tab w:val="left" w:pos="3123"/>
              </w:tabs>
              <w:spacing w:line="360" w:lineRule="auto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Легла</w:t>
            </w:r>
          </w:p>
        </w:tc>
      </w:tr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209"/>
              <w:jc w:val="both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Лечебни заведения за болнична помощ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733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1005</w:t>
            </w:r>
          </w:p>
        </w:tc>
      </w:tr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209"/>
              <w:jc w:val="both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Болници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733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1005</w:t>
            </w:r>
          </w:p>
        </w:tc>
      </w:tr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209"/>
              <w:jc w:val="both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 xml:space="preserve">Многопрофилни болници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733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851</w:t>
            </w:r>
          </w:p>
        </w:tc>
      </w:tr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209"/>
              <w:jc w:val="both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Специализирани болници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733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154</w:t>
            </w:r>
          </w:p>
        </w:tc>
      </w:tr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209"/>
              <w:jc w:val="both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Лечебни заведения за извънболнична помощ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733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4</w:t>
            </w:r>
          </w:p>
        </w:tc>
      </w:tr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209"/>
              <w:jc w:val="both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Диагностично-консултативни центрове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733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-</w:t>
            </w:r>
          </w:p>
        </w:tc>
      </w:tr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209"/>
              <w:jc w:val="both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 xml:space="preserve">Медицински центрове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733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4</w:t>
            </w:r>
          </w:p>
        </w:tc>
      </w:tr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209"/>
              <w:jc w:val="both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Дентални центрове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733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-</w:t>
            </w:r>
          </w:p>
        </w:tc>
      </w:tr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left="209"/>
              <w:jc w:val="both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 xml:space="preserve">Самостоятелни медико-диагностични и медико-технически лаборатории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733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Cs/>
                <w:sz w:val="20"/>
                <w:szCs w:val="20"/>
                <w:lang w:eastAsia="bg-BG"/>
              </w:rPr>
              <w:t>-</w:t>
            </w:r>
          </w:p>
        </w:tc>
      </w:tr>
      <w:tr w:rsidR="001B54E3" w:rsidRPr="00F44131" w:rsidTr="00C46870">
        <w:trPr>
          <w:trHeight w:val="315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209"/>
              <w:jc w:val="both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 xml:space="preserve">Други лечебни и здравни заведения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733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1B54E3" w:rsidRPr="00F44131" w:rsidRDefault="00F5087A" w:rsidP="00F5087A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sz w:val="20"/>
                <w:szCs w:val="20"/>
                <w:lang w:eastAsia="bg-BG"/>
              </w:rPr>
              <w:t>-</w:t>
            </w:r>
          </w:p>
        </w:tc>
      </w:tr>
    </w:tbl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Многопрофилните болници са 3 с 8</w:t>
      </w:r>
      <w:r w:rsidR="00A90465"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1 легла и в тях е съсредоточен 84.</w:t>
      </w:r>
      <w:r w:rsidR="00A90465"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 от легловия фонд на всички заведения за болнична помощ в областта (фиг.1). </w:t>
      </w:r>
    </w:p>
    <w:p w:rsidR="001B54E3" w:rsidRPr="00F44131" w:rsidRDefault="001B54E3">
      <w:pPr>
        <w:spacing w:after="160" w:line="259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Леглови фонд на заведенията за болнична помощ в област Сливен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>към 31.12.</w:t>
      </w:r>
      <w:r w:rsidR="006F515B"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>2023</w:t>
      </w: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г. по видове заведения</w:t>
      </w:r>
    </w:p>
    <w:p w:rsidR="001B54E3" w:rsidRPr="00F44131" w:rsidRDefault="00B47F1B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noProof/>
          <w:lang w:eastAsia="bg-BG"/>
        </w:rPr>
        <w:drawing>
          <wp:inline distT="0" distB="0" distL="0" distR="0" wp14:anchorId="2286AC66" wp14:editId="2390959B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B318831-9446-4384-B47D-72E08B61A9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Към 31.12.</w:t>
      </w:r>
      <w:r w:rsidR="006F515B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F4413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заведенията за извънболнична помощ</w:t>
      </w:r>
      <w:r w:rsidRPr="00F4413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са 48 с </w:t>
      </w:r>
      <w:r w:rsidR="00941318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за краткосрочно наблюдение и престой. 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Сред извънболничните заведения с дейности по клинична медицина най-голям е броят на медицинските центрове - 12 заведения, следват диагностично-консултативните центрове – 3 и 1 дентален център.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В края на годината в областта функционират 32 самостоятелни медико-диагностични и медико-технически лаборатории.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Към други лечебни и здравни заведения се отнасят центровете за спешна медицинска помощ, регионалните здравни инспекции, домовете за медико-социални грижи за деца, хосписите, националните центрове без легла, диализните центрове, центровете за трансфузионна хематология, центрове за комплексно обслужване на деца с увреждания и хронични заболявания и др. В област Сливен тези заведения са </w:t>
      </w:r>
      <w:r w:rsidR="00941318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1318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без легла в тях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края на </w:t>
      </w:r>
      <w:r w:rsidR="006F515B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 основен трудов договор в лечебните и здравните заведения в областта практикуват </w:t>
      </w:r>
      <w:r w:rsidR="00941318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521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лекари (табл. 2). Лекарите по дентална медицина са 12</w:t>
      </w:r>
      <w:r w:rsidR="00941318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а </w:t>
      </w:r>
      <w:bookmarkStart w:id="0" w:name="_GoBack"/>
      <w:bookmarkEnd w:id="0"/>
      <w:r w:rsidR="00F44131">
        <w:rPr>
          <w:rFonts w:ascii="Verdana" w:eastAsia="Μοντέρνα" w:hAnsi="Verdana" w:cs="Times New Roman"/>
          <w:sz w:val="20"/>
          <w:szCs w:val="20"/>
          <w:lang w:eastAsia="bg-BG"/>
        </w:rPr>
        <w:t>професионалисти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по здравни грижи </w:t>
      </w:r>
      <w:r w:rsidR="00F44131">
        <w:rPr>
          <w:rFonts w:ascii="Verdana" w:eastAsia="Μοντέρνα" w:hAnsi="Verdana" w:cs="Times New Roman"/>
          <w:sz w:val="20"/>
          <w:szCs w:val="20"/>
          <w:lang w:eastAsia="bg-BG"/>
        </w:rPr>
        <w:t>и други ме</w:t>
      </w:r>
      <w:r w:rsidR="00116B86">
        <w:rPr>
          <w:rFonts w:ascii="Verdana" w:eastAsia="Μοντέρνα" w:hAnsi="Verdana" w:cs="Times New Roman"/>
          <w:sz w:val="20"/>
          <w:szCs w:val="20"/>
          <w:lang w:eastAsia="bg-BG"/>
        </w:rPr>
        <w:t>д</w:t>
      </w:r>
      <w:r w:rsid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ицински специалисти </w:t>
      </w:r>
      <w:r w:rsidR="00941318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41318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898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като </w:t>
      </w:r>
      <w:r w:rsidR="00941318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593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 тях са медицински сестри.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1B54E3" w:rsidRPr="00F44131" w:rsidRDefault="001B54E3" w:rsidP="00331701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>2. Медицински персонал в област Сливен към 31.12.</w:t>
      </w:r>
      <w:r w:rsidR="006F515B"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>2023</w:t>
      </w: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1B54E3" w:rsidRPr="00F44131" w:rsidRDefault="001B54E3" w:rsidP="00331701">
      <w:pPr>
        <w:tabs>
          <w:tab w:val="left" w:pos="3123"/>
        </w:tabs>
        <w:spacing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tbl>
      <w:tblPr>
        <w:tblW w:w="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1357"/>
        <w:gridCol w:w="2198"/>
      </w:tblGrid>
      <w:tr w:rsidR="001B54E3" w:rsidRPr="00F44131" w:rsidTr="00331701">
        <w:trPr>
          <w:trHeight w:val="78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567"/>
              <w:jc w:val="center"/>
              <w:rPr>
                <w:rFonts w:ascii="Verdana" w:eastAsia="Μοντέρνα" w:hAnsi="Verdana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54E3" w:rsidRPr="00F44131" w:rsidRDefault="001B54E3" w:rsidP="001B54E3">
            <w:pPr>
              <w:tabs>
                <w:tab w:val="left" w:pos="3123"/>
              </w:tabs>
              <w:spacing w:line="360" w:lineRule="auto"/>
              <w:ind w:firstLine="567"/>
              <w:jc w:val="center"/>
              <w:rPr>
                <w:rFonts w:ascii="Verdana" w:eastAsia="Μοντέρνα" w:hAnsi="Verdana" w:cs="Times New Roman"/>
                <w:b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54E3" w:rsidRPr="00F44131" w:rsidRDefault="001B54E3" w:rsidP="00331701">
            <w:pPr>
              <w:tabs>
                <w:tab w:val="left" w:pos="3123"/>
              </w:tabs>
              <w:spacing w:line="360" w:lineRule="auto"/>
              <w:ind w:firstLine="567"/>
              <w:jc w:val="right"/>
              <w:rPr>
                <w:rFonts w:ascii="Verdana" w:eastAsia="Μοντέρνα" w:hAnsi="Verdana" w:cs="Times New Roman"/>
                <w:b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sz w:val="20"/>
                <w:szCs w:val="20"/>
                <w:lang w:eastAsia="bg-BG"/>
              </w:rPr>
              <w:t>На 10 000 души от населението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 xml:space="preserve">Лекари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521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30.6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Лекари по дентална медицина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125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7.4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Професионалисти по здравни грижи и други медицински специалисти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898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52.8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ind w:firstLine="350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 xml:space="preserve">Фелдшери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2.4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ind w:firstLine="350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 xml:space="preserve">Акушерки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3.4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ind w:firstLine="350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 xml:space="preserve">Медицински сестри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593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34.9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ind w:firstLine="350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 xml:space="preserve">Лаборанти (клинични и рентгенови)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6.5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ind w:firstLine="350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 xml:space="preserve">Зъботехници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2.6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ind w:firstLine="350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 xml:space="preserve">Други медицински специалисти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3.1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Население на 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 xml:space="preserve">лекар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326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х</w:t>
            </w:r>
          </w:p>
        </w:tc>
      </w:tr>
      <w:tr w:rsidR="00230E3A" w:rsidRPr="00F44131" w:rsidTr="00331701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0E3A" w:rsidRPr="00F44131" w:rsidRDefault="00230E3A" w:rsidP="00230E3A">
            <w:pPr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 xml:space="preserve">лекар по дентална медицина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1360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0E3A" w:rsidRPr="00F44131" w:rsidRDefault="00230E3A" w:rsidP="00230E3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х</w:t>
            </w:r>
          </w:p>
        </w:tc>
      </w:tr>
    </w:tbl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В структурата на лекарите по специалности</w:t>
      </w:r>
      <w:r w:rsidRPr="00F44131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footnoteReference w:id="1"/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най-голям е броят на общопрактикуващите лекари - 9</w:t>
      </w:r>
      <w:r w:rsidR="006060EC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или </w:t>
      </w:r>
      <w:r w:rsidR="006060EC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17.5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% от всички практикуващи лекари в областта, следвани от практикуващите Кардиология - 4</w:t>
      </w:r>
      <w:r w:rsidR="006060EC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или </w:t>
      </w:r>
      <w:r w:rsidR="006060EC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9.2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%, Акушерство и гинекология – 3</w:t>
      </w:r>
      <w:r w:rsidR="006060EC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или 7.</w:t>
      </w:r>
      <w:r w:rsidR="006060EC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% и Педиатрия - 2</w:t>
      </w:r>
      <w:r w:rsidR="006060EC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, или 5.</w:t>
      </w:r>
      <w:r w:rsidR="006060EC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>% (табл.3).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Осигуреността с лекари в края на </w:t>
      </w:r>
      <w:r w:rsidR="006F515B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е </w:t>
      </w:r>
      <w:r w:rsidR="006060EC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30.6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10 000 души от населението при </w:t>
      </w:r>
      <w:r w:rsidR="006060EC" w:rsidRPr="00F44131">
        <w:rPr>
          <w:rFonts w:ascii="Verdana" w:eastAsia="Μοντέρνα" w:hAnsi="Verdana" w:cs="Times New Roman"/>
          <w:sz w:val="20"/>
          <w:szCs w:val="20"/>
          <w:lang w:eastAsia="bg-BG"/>
        </w:rPr>
        <w:t>46.4</w:t>
      </w: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 страната, а с лекари по дентална медицина стойността на показателя е 7.4 при 11.8 на 10 000 за страната.</w:t>
      </w:r>
    </w:p>
    <w:p w:rsidR="001B54E3" w:rsidRPr="00F44131" w:rsidRDefault="001B54E3">
      <w:pPr>
        <w:spacing w:after="160" w:line="259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1B54E3" w:rsidRPr="00F44131" w:rsidRDefault="001B54E3" w:rsidP="001B54E3">
      <w:pPr>
        <w:spacing w:after="200" w:line="276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1B54E3" w:rsidRPr="00F44131" w:rsidRDefault="001B54E3" w:rsidP="001B54E3">
      <w:pPr>
        <w:numPr>
          <w:ilvl w:val="0"/>
          <w:numId w:val="2"/>
        </w:numPr>
        <w:ind w:hanging="436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Лекари по специалности в област Сливен към 31.12.</w:t>
      </w:r>
      <w:r w:rsidR="006F515B"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>2023</w:t>
      </w: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1B54E3" w:rsidRPr="00F44131" w:rsidRDefault="001B54E3" w:rsidP="001B54E3">
      <w:pPr>
        <w:ind w:left="36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4"/>
        <w:gridCol w:w="1786"/>
      </w:tblGrid>
      <w:tr w:rsidR="001B54E3" w:rsidRPr="00F44131" w:rsidTr="004660DA">
        <w:trPr>
          <w:trHeight w:val="315"/>
          <w:jc w:val="center"/>
        </w:trPr>
        <w:tc>
          <w:tcPr>
            <w:tcW w:w="3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4E3" w:rsidRPr="00F44131" w:rsidRDefault="001B54E3" w:rsidP="001B54E3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4E3" w:rsidRPr="00F44131" w:rsidRDefault="001B54E3" w:rsidP="001B54E3">
            <w:pPr>
              <w:jc w:val="center"/>
              <w:rPr>
                <w:rFonts w:ascii="Verdana" w:eastAsia="Μοντέρνα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44131">
              <w:rPr>
                <w:rFonts w:ascii="Verdana" w:eastAsia="Μοντέρνα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4131">
              <w:rPr>
                <w:rFonts w:ascii="Verdana" w:hAnsi="Verdana"/>
                <w:b/>
                <w:sz w:val="20"/>
                <w:szCs w:val="20"/>
              </w:rPr>
              <w:t> Лекари общо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44131">
              <w:rPr>
                <w:rFonts w:ascii="Verdana" w:hAnsi="Verdana"/>
                <w:b/>
                <w:sz w:val="20"/>
                <w:szCs w:val="20"/>
              </w:rPr>
              <w:t>521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Общопрактикуващи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91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Кардиология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48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37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Педиатрия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28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Спешна медицина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23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Вътрешни болести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Очни болести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Хирургия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Нервни болести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Анестезиология и интензивно лечение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Образна диагностика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Ендокринология и болести на обмяната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0D25D4" w:rsidRPr="00F44131" w:rsidTr="008D7FFA">
        <w:trPr>
          <w:trHeight w:val="315"/>
          <w:jc w:val="center"/>
        </w:trPr>
        <w:tc>
          <w:tcPr>
            <w:tcW w:w="3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25D4" w:rsidRPr="00F44131" w:rsidRDefault="000D25D4" w:rsidP="000D25D4">
            <w:pPr>
              <w:ind w:left="208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Други специалности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5D4" w:rsidRPr="00F44131" w:rsidRDefault="000D25D4" w:rsidP="000D25D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44131">
              <w:rPr>
                <w:rFonts w:ascii="Verdana" w:hAnsi="Verdana"/>
                <w:sz w:val="20"/>
                <w:szCs w:val="20"/>
              </w:rPr>
              <w:t>165</w:t>
            </w:r>
          </w:p>
        </w:tc>
      </w:tr>
    </w:tbl>
    <w:p w:rsidR="001B54E3" w:rsidRPr="00F44131" w:rsidRDefault="001B54E3" w:rsidP="001B54E3">
      <w:pPr>
        <w:tabs>
          <w:tab w:val="left" w:pos="7185"/>
        </w:tabs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1B54E3" w:rsidRPr="00F44131" w:rsidRDefault="001B54E3" w:rsidP="001B54E3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44131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1B54E3" w:rsidRPr="00F44131" w:rsidRDefault="001B54E3" w:rsidP="001B54E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265ACF" w:rsidRPr="00F44131" w:rsidRDefault="00B47F1B" w:rsidP="00B47F1B">
      <w:pPr>
        <w:tabs>
          <w:tab w:val="left" w:pos="3123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4131">
        <w:rPr>
          <w:rFonts w:ascii="Verdana" w:hAnsi="Verdana"/>
          <w:sz w:val="20"/>
          <w:szCs w:val="20"/>
        </w:rPr>
        <w:t xml:space="preserve">Статистическото изследване на лечебните и здравните заведения осигурява информация за здравната мрежа по видове лечебни и здравни заведения и териториалното им разпределение, както и за медицинския персонал по специалности и категории. Провежда се в изпълнение на Регламент (ЕС) 2022/2294 на Комисията по отношение на статистиката за заведенията за здравно обслужване, човешките ресурси в областта на здравното обслужване и използването на здравното обслужване, при стриктно спазване на заложените в нормативния документ дефиниции. Данните от изследването се отнасят към 31.12. на съответната година. Легловият фонд включва броя на действително разкритите и временно закритите за срок по-малък от шест месеца легла, но не включва временно разкритите легла. Място за краткотраен престой е специално определена в правилника за устройството, дейността и вътрешния ред на лечебното заведение за болнична помощ, обособена и обозначена площ/територия/пространство в клиника/отделение с легла или без легла за настаняване на пациента, специално съоръжена/о с необходимото битово и техническо оборудване за извършване на определени медицински дейности по диагностика и лечение, които изискват престой на пациента не по-дълъг от 12 часа. При анализ на данните за здравната мрежа трябва да се има предвид, че броят на заведенията и легловият фонд се променят не само в резултат на разкриване и закриване на заведения, но и поради промени, свързани с преобразуване на заведенията от един вид в друг или обединяване на заведения. При анализиране на данните за осигуреност на населението с медицинска помощ по области трябва да се имат предвид специфичните особености на медицинското обслужване. Лечебните заведения не са свързани пряко само с обслужването на населението на едно населено място или община и достъпът до медицинска помощ е свободен. Голяма част от заведенията обслужват населението на една област или група общини, а специализираните заведения обслужват населението на няколко области. Заведенията с национален обхват, независимо от тяхното местонамиране, обслужват населението на цялата страна. В броя на медицинския персонал (физически лица) се включват практикуващите в лечебните и здравните заведения, независимо от ведомствената им подчиненост. Не са включени данни за работещите извън страната медицински специалисти и за тези, които не работят непосредствено в лечебните заведения - например във фармацевтичната промишленост. При териториалното разпределение на медицинския персонал е приложено следното: медицинските специалисти, които работят в практики по договор с НЗОК, обслужващи повече от една област, респ. община, са включени в общия брой на София медицинските </w:t>
      </w:r>
      <w:r w:rsidRPr="00F44131">
        <w:rPr>
          <w:rFonts w:ascii="Verdana" w:hAnsi="Verdana"/>
          <w:sz w:val="20"/>
          <w:szCs w:val="20"/>
        </w:rPr>
        <w:lastRenderedPageBreak/>
        <w:t xml:space="preserve">специалисти за страната (областта), но не са разпределени по области (общини). Разпределението на лекарите по специалности е в съответствие с Наредба № 1 от 22 януари 2015 г. на Министерството на здравеопазването (изм. и доп., ДВ, бр. 51 от 13 юни 2023 г.) и се отнася до практикуваната специалност. Лекарите, работещи в практики за специализирана медицинска помощ по договор с НЗОК, са разпределени по специалността, по която практикуват. В случай че работят по повече от една специалност, са включени в общия брой на лекарите, но не са разпределени по специалности. Показателите за осигуреност на населението с болнични легла и с медицински специалисти са изчислени с броя на населението в края на годината. Оценката за населението към 31.12.2022 г. отразява промените в броя и структурите на населението регистрирани при Преброяване 2021. В тази връзка е налице прекъсване в динамичния ред за всички коефициенти за 2022 година. Повече информация и данни от изследването „Лечебни заведения за болнична и извънболнична помощ и здравни заведения“ са достъпни в Информационна система </w:t>
      </w:r>
      <w:r w:rsidRPr="00F44131">
        <w:rPr>
          <w:rFonts w:ascii="Verdana" w:eastAsia="Calibri" w:hAnsi="Verdana"/>
          <w:sz w:val="20"/>
          <w:szCs w:val="20"/>
        </w:rPr>
        <w:t>„ИНФОСТАТ“ (</w:t>
      </w:r>
      <w:hyperlink r:id="rId8" w:history="1">
        <w:r w:rsidRPr="00F44131">
          <w:rPr>
            <w:rFonts w:ascii="Verdana" w:eastAsia="Calibri" w:hAnsi="Verdana"/>
            <w:color w:val="0563C1" w:themeColor="hyperlink"/>
            <w:sz w:val="20"/>
            <w:szCs w:val="20"/>
            <w:u w:val="single"/>
          </w:rPr>
          <w:t>https://infostat.nsi.bg/infostat/pages/module.jsf?x_2=58</w:t>
        </w:r>
      </w:hyperlink>
      <w:r w:rsidRPr="00F44131">
        <w:rPr>
          <w:rFonts w:ascii="Verdana" w:eastAsia="Calibri" w:hAnsi="Verdana"/>
          <w:sz w:val="20"/>
          <w:szCs w:val="20"/>
        </w:rPr>
        <w:t>) и на сайта на НСИ (</w:t>
      </w:r>
      <w:hyperlink r:id="rId9" w:history="1">
        <w:r w:rsidRPr="00F44131">
          <w:rPr>
            <w:rFonts w:ascii="Verdana" w:eastAsia="Calibri" w:hAnsi="Verdana"/>
            <w:color w:val="0563C1" w:themeColor="hyperlink"/>
            <w:sz w:val="20"/>
            <w:szCs w:val="20"/>
            <w:u w:val="single"/>
          </w:rPr>
          <w:t>www.nsi.bg</w:t>
        </w:r>
      </w:hyperlink>
      <w:r w:rsidRPr="00F44131">
        <w:rPr>
          <w:rFonts w:ascii="Verdana" w:eastAsia="Calibri" w:hAnsi="Verdana"/>
          <w:sz w:val="20"/>
          <w:szCs w:val="20"/>
        </w:rPr>
        <w:t>), раздел „Здравеопазване“.</w:t>
      </w:r>
      <w:r w:rsidRPr="00F44131">
        <w:rPr>
          <w:rFonts w:ascii="Verdana" w:hAnsi="Verdana"/>
          <w:sz w:val="20"/>
          <w:szCs w:val="20"/>
        </w:rPr>
        <w:t>.</w:t>
      </w:r>
    </w:p>
    <w:sectPr w:rsidR="00265ACF" w:rsidRPr="00F44131" w:rsidSect="00B47F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843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7A" w:rsidRDefault="00CB7A7A" w:rsidP="001B54E3">
      <w:r>
        <w:separator/>
      </w:r>
    </w:p>
  </w:endnote>
  <w:endnote w:type="continuationSeparator" w:id="0">
    <w:p w:rsidR="00CB7A7A" w:rsidRDefault="00CB7A7A" w:rsidP="001B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AF19B5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ADFB760" wp14:editId="438A8C55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C4D0EF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366408" wp14:editId="02A867D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A6DF4C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A564C7" wp14:editId="1117D17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AF19B5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036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A564C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AF19B5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036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AF19B5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AF19B5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618D07" wp14:editId="246C39E9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AF19B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036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618D0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AF19B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036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F6567D" wp14:editId="1360F81E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9ACB2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7A" w:rsidRDefault="00CB7A7A" w:rsidP="001B54E3">
      <w:r>
        <w:separator/>
      </w:r>
    </w:p>
  </w:footnote>
  <w:footnote w:type="continuationSeparator" w:id="0">
    <w:p w:rsidR="00CB7A7A" w:rsidRDefault="00CB7A7A" w:rsidP="001B54E3">
      <w:r>
        <w:continuationSeparator/>
      </w:r>
    </w:p>
  </w:footnote>
  <w:footnote w:id="1">
    <w:p w:rsidR="001B54E3" w:rsidRPr="001B54E3" w:rsidRDefault="001B54E3" w:rsidP="001B54E3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B54E3">
        <w:rPr>
          <w:rStyle w:val="FootnoteReference"/>
          <w:rFonts w:ascii="Verdana" w:hAnsi="Verdana"/>
          <w:sz w:val="16"/>
          <w:szCs w:val="16"/>
        </w:rPr>
        <w:footnoteRef/>
      </w:r>
      <w:r w:rsidRPr="001B54E3">
        <w:rPr>
          <w:rFonts w:ascii="Verdana" w:hAnsi="Verdana"/>
          <w:sz w:val="16"/>
          <w:szCs w:val="16"/>
          <w:lang w:val="ru-RU"/>
        </w:rPr>
        <w:t xml:space="preserve"> </w:t>
      </w:r>
      <w:r w:rsidRPr="001B54E3">
        <w:rPr>
          <w:rFonts w:ascii="Verdana" w:hAnsi="Verdana"/>
          <w:sz w:val="16"/>
          <w:szCs w:val="16"/>
          <w:lang w:val="bg-BG"/>
        </w:rPr>
        <w:t>Разпределението на лекарите по специалности се отнася до практикуваната специалност. Включени са и лекарите, работещи в практики за специализирана медицинска помощ. Не са разпределени лекарите, които практикуват по повече от една специалност.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AF19B5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92CAAC" wp14:editId="1F75F25E">
              <wp:simplePos x="0" y="0"/>
              <wp:positionH relativeFrom="column">
                <wp:posOffset>-157784</wp:posOffset>
              </wp:positionH>
              <wp:positionV relativeFrom="paragraph">
                <wp:posOffset>-855538</wp:posOffset>
              </wp:positionV>
              <wp:extent cx="6066790" cy="437321"/>
              <wp:effectExtent l="0" t="0" r="10160" b="2032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37321"/>
                        <a:chOff x="0" y="0"/>
                        <a:chExt cx="6066790" cy="580445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0025" y="0"/>
                          <a:ext cx="5600700" cy="564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328" w:rsidRPr="00FB1109" w:rsidRDefault="00FB1109" w:rsidP="00DA6FD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B1109"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</w:rPr>
                              <w:t>ЛЕЧЕБНИ ЗАВЕДЕНИЯ ЗА БОЛНИЧНА И ИЗВЪНБОЛНИЧНА ПОМОЩ И ЗДРАВНИ ЗАВЕДЕНИЯ В ОБЛАСТ СЛИВЕН КЪМ 31.12.202</w:t>
                            </w:r>
                            <w:r w:rsidRPr="00116B86"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Pr="00FB1109">
                              <w:rPr>
                                <w:rFonts w:ascii="Verdana" w:eastAsia="Calibri" w:hAnsi="Verdana" w:cs="Times New Roman"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 flipV="1">
                          <a:off x="0" y="315595"/>
                          <a:ext cx="6066790" cy="26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92CAAC" id="Group 7" o:spid="_x0000_s1027" style="position:absolute;margin-left:-12.4pt;margin-top:-67.35pt;width:477.7pt;height:34.45pt;z-index:251661312;mso-height-relative:margin" coordsize="60667,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000;width:56007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54328" w:rsidRPr="00FB1109" w:rsidRDefault="00FB1109" w:rsidP="00DA6FD9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B1109">
                        <w:rPr>
                          <w:rFonts w:ascii="Verdana" w:eastAsia="Calibri" w:hAnsi="Verdana" w:cs="Times New Roman"/>
                          <w:sz w:val="20"/>
                          <w:szCs w:val="20"/>
                        </w:rPr>
                        <w:t>ЛЕЧЕБНИ ЗАВЕДЕНИЯ ЗА БОЛНИЧНА И ИЗВЪНБОЛНИЧНА ПОМОЩ И ЗДРАВНИ ЗАВЕДЕНИЯ В ОБЛАСТ СЛИВЕН КЪМ 31.12.202</w:t>
                      </w:r>
                      <w:r w:rsidRPr="00116B86">
                        <w:rPr>
                          <w:rFonts w:ascii="Verdana" w:eastAsia="Calibri" w:hAnsi="Verdana" w:cs="Times New Roman"/>
                          <w:sz w:val="20"/>
                          <w:szCs w:val="20"/>
                          <w:lang w:val="en-US"/>
                        </w:rPr>
                        <w:t>3</w:t>
                      </w:r>
                      <w:r w:rsidRPr="00FB1109">
                        <w:rPr>
                          <w:rFonts w:ascii="Verdana" w:eastAsia="Calibri" w:hAnsi="Verdana" w:cs="Times New Roman"/>
                          <w:sz w:val="20"/>
                          <w:szCs w:val="20"/>
                        </w:rPr>
                        <w:t xml:space="preserve"> ГОДИНА</w:t>
                      </w:r>
                    </w:p>
                  </w:txbxContent>
                </v:textbox>
              </v:shape>
              <v:shape id="Graphic 7" o:spid="_x0000_s1029" style="position:absolute;top:3155;width:60667;height:2649;flip:y;visibility:visible;mso-wrap-style:square;v-text-anchor:top" coordsize="6066790,26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AF19B5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CB3198" wp14:editId="633A87FB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EF28A6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577F9A60" wp14:editId="555227D2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CE800D" wp14:editId="4C13479E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AF19B5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AF19B5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CE800D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AF19B5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AF19B5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AAF4A86" wp14:editId="51CAAD27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3B9FC6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1F84"/>
    <w:multiLevelType w:val="hybridMultilevel"/>
    <w:tmpl w:val="E4B0CBB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D00FF"/>
    <w:multiLevelType w:val="hybridMultilevel"/>
    <w:tmpl w:val="899A51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E3"/>
    <w:rsid w:val="000D25D4"/>
    <w:rsid w:val="00116B86"/>
    <w:rsid w:val="001810DE"/>
    <w:rsid w:val="001B54E3"/>
    <w:rsid w:val="00230E3A"/>
    <w:rsid w:val="00265ACF"/>
    <w:rsid w:val="00287FC0"/>
    <w:rsid w:val="00331701"/>
    <w:rsid w:val="005924C4"/>
    <w:rsid w:val="006060EC"/>
    <w:rsid w:val="006F515B"/>
    <w:rsid w:val="00941318"/>
    <w:rsid w:val="009C54F1"/>
    <w:rsid w:val="00A90465"/>
    <w:rsid w:val="00AF19B5"/>
    <w:rsid w:val="00B40BF8"/>
    <w:rsid w:val="00B47F1B"/>
    <w:rsid w:val="00C46870"/>
    <w:rsid w:val="00C56083"/>
    <w:rsid w:val="00CB7A7A"/>
    <w:rsid w:val="00F44131"/>
    <w:rsid w:val="00F5087A"/>
    <w:rsid w:val="00F60361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316FA50-D470-42F8-A075-909134FA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4E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4E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4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4E3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B54E3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54E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54E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4E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4E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1B54E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5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i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PRESS\Press_2024\pom%20tabl%20health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9C-43A1-9A5B-87A5B4CC19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9C-43A1-9A5B-87A5B4CC1951}"/>
              </c:ext>
            </c:extLst>
          </c:dPt>
          <c:dLbls>
            <c:dLbl>
              <c:idx val="0"/>
              <c:layout>
                <c:manualLayout>
                  <c:x val="-4.130577427821522E-3"/>
                  <c:y val="-1.05606590842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9C-43A1-9A5B-87A5B4CC1951}"/>
                </c:ext>
              </c:extLst>
            </c:dLbl>
            <c:dLbl>
              <c:idx val="1"/>
              <c:layout>
                <c:manualLayout>
                  <c:x val="1.3510498687664043E-3"/>
                  <c:y val="1.1983085447652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9C-43A1-9A5B-87A5B4CC195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'[pom tabl health_2022.xlsx]graf 2023'!$A$5:$A$6</c:f>
              <c:strCache>
                <c:ptCount val="2"/>
                <c:pt idx="0">
                  <c:v>Многопрофилни болници</c:v>
                </c:pt>
                <c:pt idx="1">
                  <c:v>Специалнизирани болници</c:v>
                </c:pt>
              </c:strCache>
            </c:strRef>
          </c:cat>
          <c:val>
            <c:numRef>
              <c:f>'[pom tabl health_2022.xlsx]graf 2023'!$B$5:$B$6</c:f>
              <c:numCache>
                <c:formatCode>0.000</c:formatCode>
                <c:ptCount val="2"/>
                <c:pt idx="0">
                  <c:v>0.84676616915422886</c:v>
                </c:pt>
                <c:pt idx="1">
                  <c:v>0.15323383084577114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9C-43A1-9A5B-87A5B4CC19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14</cp:revision>
  <cp:lastPrinted>2024-06-25T08:31:00Z</cp:lastPrinted>
  <dcterms:created xsi:type="dcterms:W3CDTF">2024-06-24T10:34:00Z</dcterms:created>
  <dcterms:modified xsi:type="dcterms:W3CDTF">2024-06-26T07:38:00Z</dcterms:modified>
</cp:coreProperties>
</file>