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323F1" wp14:editId="15E6AA32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CC6" w:rsidRPr="004F6479" w:rsidRDefault="009C4CC6" w:rsidP="009C4CC6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9C4CC6" w:rsidRPr="004F6479" w:rsidRDefault="009C4CC6" w:rsidP="009C4CC6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32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9C4CC6" w:rsidRPr="004F6479" w:rsidRDefault="009C4CC6" w:rsidP="009C4CC6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9C4CC6" w:rsidRPr="004F6479" w:rsidRDefault="009C4CC6" w:rsidP="009C4CC6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C4CC6" w:rsidRDefault="009C4CC6" w:rsidP="009C4CC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C4CC6" w:rsidRPr="009C4CC6" w:rsidRDefault="009C4CC6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НАЕТИ ЛИЦА И СРЕДНА БРУТНА РАБОТНА ЗАПЛАТА</w:t>
      </w:r>
    </w:p>
    <w:p w:rsidR="009C4CC6" w:rsidRPr="002A2216" w:rsidRDefault="009C4CC6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2024 ГОДИНА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предварителни данни на Националния статистически институт 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 наетите лица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трудово и служебно правоотношение в област Сливен към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се увеличава с 0.</w:t>
      </w:r>
      <w:r w:rsidR="0066781D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или с 0.2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66781D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като достигат 37.</w:t>
      </w:r>
      <w:r w:rsidR="0066781D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хиляди (фиг. 1).</w:t>
      </w:r>
    </w:p>
    <w:p w:rsidR="0025471C" w:rsidRPr="0025471C" w:rsidRDefault="0025471C" w:rsidP="0025471C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Наети лица по трудово и служебно правоотношение в област Сливен</w:t>
      </w:r>
    </w:p>
    <w:p w:rsidR="009C4CC6" w:rsidRPr="002A2216" w:rsidRDefault="0025471C" w:rsidP="0025471C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към края на </w:t>
      </w:r>
      <w:r w:rsidR="005F739A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март</w:t>
      </w:r>
      <w:bookmarkStart w:id="0" w:name="_GoBack"/>
      <w:bookmarkEnd w:id="0"/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 w:rsidR="005F739A"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9C4CC6" w:rsidRPr="002A2216" w:rsidRDefault="00C34DA8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52B3AE5" wp14:editId="467F53E2">
            <wp:extent cx="5962650" cy="5105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DA8" w:rsidRPr="002A2216" w:rsidRDefault="00C34DA8" w:rsidP="00C34DA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66781D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наетите лица в обществения сектор 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>намаляват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>0.7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11.9 хил.), а в частния сектор 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увеличават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с 0.6% (достигат до 25.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най-голямо намаление на наетите лица по трудово и служебно правоотношение в абсолютна стойност е регистрирано в икономическите дейности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6781D"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„Хуманно здравеопазване и социална работа“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201663"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„Други дейности“</w:t>
      </w:r>
      <w:r w:rsidR="00AD73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201663"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„Търговия; Ремо</w:t>
      </w:r>
      <w:r w:rsidR="00201663">
        <w:rPr>
          <w:rFonts w:ascii="Verdana" w:eastAsia="Μοντέρνα" w:hAnsi="Verdana" w:cs="Times New Roman"/>
          <w:sz w:val="20"/>
          <w:szCs w:val="20"/>
          <w:lang w:eastAsia="bg-BG"/>
        </w:rPr>
        <w:t>нт на автомобили и мотоциклети“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Най-голямо увеличение на наетите лица се наблюдава в икономическите дейности:, „Преработваща промишленост“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>, „Строителство“</w:t>
      </w:r>
      <w:r w:rsidR="00AD73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„Селско, горско и рибно стопанство“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и „</w:t>
      </w:r>
      <w:r w:rsidR="0066781D">
        <w:rPr>
          <w:rFonts w:ascii="Verdana" w:eastAsia="Μοντέρνα" w:hAnsi="Verdana" w:cs="Times New Roman"/>
          <w:sz w:val="20"/>
          <w:szCs w:val="20"/>
          <w:lang w:eastAsia="bg-BG"/>
        </w:rPr>
        <w:t>Административни и спомагателни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дейности“.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броят на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наетите лица по трудово и служебно правоотношение в област Сливен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остава почти непроменен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период на предходната година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. 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обществения сектор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наетите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увеличават с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3.0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в частния сектор намаляват с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1.4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„Преработваща промишленост“ -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28.0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%, „Търговия; Ремонт на автомобили и мотоциклети“ - 15.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 и „Хуманно здравеопазване и социална работа“ - 12.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>средната брутна месечна работна заплата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2024 г. е 1 6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73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при 2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296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средна за страната.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останалите области на страната, по показателя средна брутна месечна работна заплата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г., област Сливен се нарежда на 22-ро място. Най-висока средна работна заплата получават наетите в област София (столица) - 3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129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най-ниска - в областите Благоевград - 1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519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Смолян - 1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535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и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Кюстендил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- 1 </w:t>
      </w:r>
      <w:r w:rsidR="007917F2">
        <w:rPr>
          <w:rFonts w:ascii="Verdana" w:eastAsia="Μοντέρνα" w:hAnsi="Verdana" w:cs="Times New Roman"/>
          <w:sz w:val="20"/>
          <w:szCs w:val="20"/>
          <w:lang w:eastAsia="bg-BG"/>
        </w:rPr>
        <w:t>565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средната месечна работна заплата за област Сливен се е увеличила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</w:t>
      </w:r>
      <w:r w:rsidR="00553492">
        <w:rPr>
          <w:rFonts w:ascii="Verdana" w:eastAsia="Μοντέρνα" w:hAnsi="Verdana" w:cs="Times New Roman"/>
          <w:sz w:val="20"/>
          <w:szCs w:val="20"/>
          <w:lang w:val="en-US" w:eastAsia="bg-BG"/>
        </w:rPr>
        <w:t>4.1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като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обществения сектор средната месечна заплата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е нараснала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съ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7.3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достига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126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в частния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2.4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%, достигайки 1 4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66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9C4CC6" w:rsidRPr="002A221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средната месечна работна заплата за област Сливен нараства с 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15.7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2023 година (фиг. 2).</w:t>
      </w:r>
    </w:p>
    <w:p w:rsidR="00CA38FC" w:rsidRDefault="00CA38FC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9C4CC6" w:rsidRDefault="009C4CC6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C4CC6" w:rsidRPr="002A2216" w:rsidRDefault="0025471C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Средна брутна месечна работна заплата по тримесечия в област Сливен</w:t>
      </w:r>
    </w:p>
    <w:p w:rsidR="009C4CC6" w:rsidRPr="002A2216" w:rsidRDefault="00C34DA8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A2D907F" wp14:editId="395BC3D5">
            <wp:extent cx="5391150" cy="31623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C4CC6" w:rsidRPr="0025471C" w:rsidRDefault="0025471C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sz w:val="20"/>
          <w:szCs w:val="20"/>
          <w:lang w:eastAsia="bg-BG"/>
        </w:rPr>
        <w:t>Най-висока средна брутна месечна заплата получават наетите в секторите "Производство и разпределение на електрическа и топлинна енергия и на газообразни горива", „</w:t>
      </w:r>
      <w:r w:rsidR="00553492">
        <w:rPr>
          <w:rFonts w:ascii="Verdana" w:eastAsia="Μοντέρνα" w:hAnsi="Verdana" w:cs="Times New Roman"/>
          <w:sz w:val="20"/>
          <w:szCs w:val="20"/>
          <w:lang w:eastAsia="bg-BG"/>
        </w:rPr>
        <w:t>Държавно управление</w:t>
      </w:r>
      <w:r w:rsidRPr="0025471C">
        <w:rPr>
          <w:rFonts w:ascii="Verdana" w:eastAsia="Μοντέρνα" w:hAnsi="Verdana" w:cs="Times New Roman"/>
          <w:sz w:val="20"/>
          <w:szCs w:val="20"/>
          <w:lang w:eastAsia="bg-BG"/>
        </w:rPr>
        <w:t>“ и „Образование”.</w:t>
      </w:r>
    </w:p>
    <w:p w:rsidR="00CA38FC" w:rsidRDefault="00CA38FC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25471C" w:rsidRPr="002A2216" w:rsidRDefault="0025471C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C4CC6" w:rsidRPr="002A2216" w:rsidRDefault="009C4CC6" w:rsidP="009C4CC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9C4CC6" w:rsidRPr="002A221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9C4CC6" w:rsidRPr="009C4CC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9C4CC6" w:rsidRPr="002A2216" w:rsidRDefault="009C4CC6" w:rsidP="009C4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8" w:history="1">
        <w:r w:rsidRPr="009C4CC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https://infostat.nsi.bg/infostat/pages/module.jsf?x_2=93</w:t>
        </w:r>
      </w:hyperlink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„Пазар на труда“ (</w:t>
      </w:r>
      <w:hyperlink r:id="rId9" w:history="1">
        <w:r w:rsidRPr="009C4CC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http://www.nsi.bg/node/3920/</w:t>
        </w:r>
      </w:hyperlink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sectPr w:rsidR="009C4CC6" w:rsidRPr="002A2216" w:rsidSect="00CD14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91" w:rsidRDefault="002E7B91" w:rsidP="009C4CC6">
      <w:r>
        <w:separator/>
      </w:r>
    </w:p>
  </w:endnote>
  <w:endnote w:type="continuationSeparator" w:id="0">
    <w:p w:rsidR="002E7B91" w:rsidRDefault="002E7B91" w:rsidP="009C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C80C34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ADEE530" wp14:editId="140B480B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DDC04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D78D2A" wp14:editId="5B4F3C7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E21A2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CF10D3" wp14:editId="67C52A9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C80C34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39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CF10D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C80C34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F739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C80C34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C80C34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82825" wp14:editId="7AB9040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C80C3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39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C8282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C80C3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F739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DD8D84" wp14:editId="1C8AC15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1C41DE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91" w:rsidRDefault="002E7B91" w:rsidP="009C4CC6">
      <w:r>
        <w:separator/>
      </w:r>
    </w:p>
  </w:footnote>
  <w:footnote w:type="continuationSeparator" w:id="0">
    <w:p w:rsidR="002E7B91" w:rsidRDefault="002E7B91" w:rsidP="009C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C80C34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C1E5EA" wp14:editId="259E097E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CE7" w:rsidRPr="00E50CE7" w:rsidRDefault="00E50CE7" w:rsidP="00E50CE7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E50CE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НАЕТИ ЛИЦА И СРЕДНА БРУТНА РАБОТНА ЗАПЛАТА</w:t>
                            </w:r>
                          </w:p>
                          <w:p w:rsidR="00054328" w:rsidRPr="00101DE0" w:rsidRDefault="00E50CE7" w:rsidP="00E50CE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50CE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 ПРЕЗ ВТОРОТО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1E5EA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E50CE7" w:rsidRPr="00E50CE7" w:rsidRDefault="00E50CE7" w:rsidP="00E50CE7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E50CE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НАЕТИ ЛИЦА И СРЕДНА БРУТНА РАБОТНА ЗАПЛАТА</w:t>
                      </w:r>
                    </w:p>
                    <w:p w:rsidR="00054328" w:rsidRPr="00101DE0" w:rsidRDefault="00E50CE7" w:rsidP="00E50CE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50CE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 ПРЕЗ ВТОРОТО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C80C34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FEF0D" wp14:editId="2282736E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BE582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1931529" wp14:editId="029F835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7E51FC" wp14:editId="551C0A6C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C80C34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C80C34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7E51FC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C80C34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C80C34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C8A29C" wp14:editId="3F12F83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02A0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C6"/>
    <w:rsid w:val="00201663"/>
    <w:rsid w:val="0025471C"/>
    <w:rsid w:val="00265ACF"/>
    <w:rsid w:val="002E7B91"/>
    <w:rsid w:val="00553492"/>
    <w:rsid w:val="005F739A"/>
    <w:rsid w:val="0066781D"/>
    <w:rsid w:val="007917F2"/>
    <w:rsid w:val="00895EF4"/>
    <w:rsid w:val="00995B6B"/>
    <w:rsid w:val="009C4CC6"/>
    <w:rsid w:val="00AD7301"/>
    <w:rsid w:val="00B40BF8"/>
    <w:rsid w:val="00C34DA8"/>
    <w:rsid w:val="00C56083"/>
    <w:rsid w:val="00C80C34"/>
    <w:rsid w:val="00CA38FC"/>
    <w:rsid w:val="00E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5CFBA7"/>
  <w15:chartTrackingRefBased/>
  <w15:docId w15:val="{4512B055-688F-4A88-A787-279960F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C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CC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CC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4CC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4CC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CC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CC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9C4C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4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9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i.bg/node/3920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Naeti_sr_rz\Trud_2024\pom_tabl_2019_2020_2024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Naeti_sr_rz\Trud_2024\pom_tabl_2019_2020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1971690439653506"/>
          <c:y val="2.1559997308028812E-2"/>
          <c:w val="0.3773612403880825"/>
          <c:h val="0.8995929443690635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'[pom_tabl_2019_2020_2024.xls]naeti II 2024'!$B$1</c:f>
              <c:strCache>
                <c:ptCount val="1"/>
                <c:pt idx="0">
                  <c:v>март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'[pom_tabl_2019_2020_2024.xls]naeti II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'[pom_tabl_2019_2020_2024.xls]naeti II 2024'!$B$2:$B$20</c:f>
              <c:numCache>
                <c:formatCode>General</c:formatCode>
                <c:ptCount val="19"/>
                <c:pt idx="0">
                  <c:v>614</c:v>
                </c:pt>
                <c:pt idx="1">
                  <c:v>498</c:v>
                </c:pt>
                <c:pt idx="2">
                  <c:v>4610</c:v>
                </c:pt>
                <c:pt idx="3">
                  <c:v>3875</c:v>
                </c:pt>
                <c:pt idx="4">
                  <c:v>1947</c:v>
                </c:pt>
                <c:pt idx="5">
                  <c:v>1402</c:v>
                </c:pt>
                <c:pt idx="6">
                  <c:v>441</c:v>
                </c:pt>
                <c:pt idx="7">
                  <c:v>251</c:v>
                </c:pt>
                <c:pt idx="8">
                  <c:v>179</c:v>
                </c:pt>
                <c:pt idx="9">
                  <c:v>103</c:v>
                </c:pt>
                <c:pt idx="10">
                  <c:v>1202</c:v>
                </c:pt>
                <c:pt idx="11">
                  <c:v>1462</c:v>
                </c:pt>
                <c:pt idx="12">
                  <c:v>5693</c:v>
                </c:pt>
                <c:pt idx="13">
                  <c:v>1621</c:v>
                </c:pt>
                <c:pt idx="14">
                  <c:v>494</c:v>
                </c:pt>
                <c:pt idx="15">
                  <c:v>418</c:v>
                </c:pt>
                <c:pt idx="16">
                  <c:v>10331</c:v>
                </c:pt>
                <c:pt idx="17">
                  <c:v>99</c:v>
                </c:pt>
                <c:pt idx="18">
                  <c:v>2068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1-46C9-9530-107D2A97439D}"/>
            </c:ext>
          </c:extLst>
        </c:ser>
        <c:ser>
          <c:idx val="0"/>
          <c:order val="1"/>
          <c:tx>
            <c:strRef>
              <c:f>'[pom_tabl_2019_2020_2024.xls]naeti II 2024'!$C$1</c:f>
              <c:strCache>
                <c:ptCount val="1"/>
                <c:pt idx="0">
                  <c:v>юни 2024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'[pom_tabl_2019_2020_2024.xls]naeti II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'[pom_tabl_2019_2020_2024.xls]naeti II 2024'!$C$2:$C$20</c:f>
              <c:numCache>
                <c:formatCode>General</c:formatCode>
                <c:ptCount val="19"/>
                <c:pt idx="0">
                  <c:v>550</c:v>
                </c:pt>
                <c:pt idx="1">
                  <c:v>523</c:v>
                </c:pt>
                <c:pt idx="2">
                  <c:v>4514</c:v>
                </c:pt>
                <c:pt idx="3">
                  <c:v>3834</c:v>
                </c:pt>
                <c:pt idx="4">
                  <c:v>1961</c:v>
                </c:pt>
                <c:pt idx="5">
                  <c:v>1439</c:v>
                </c:pt>
                <c:pt idx="6">
                  <c:v>465</c:v>
                </c:pt>
                <c:pt idx="7">
                  <c:v>233</c:v>
                </c:pt>
                <c:pt idx="8">
                  <c:v>172</c:v>
                </c:pt>
                <c:pt idx="9">
                  <c:v>97</c:v>
                </c:pt>
                <c:pt idx="10">
                  <c:v>1175</c:v>
                </c:pt>
                <c:pt idx="11">
                  <c:v>1486</c:v>
                </c:pt>
                <c:pt idx="12">
                  <c:v>5649</c:v>
                </c:pt>
                <c:pt idx="13">
                  <c:v>1688</c:v>
                </c:pt>
                <c:pt idx="14">
                  <c:v>503</c:v>
                </c:pt>
                <c:pt idx="15">
                  <c:v>419</c:v>
                </c:pt>
                <c:pt idx="16">
                  <c:v>10471</c:v>
                </c:pt>
                <c:pt idx="17">
                  <c:v>94</c:v>
                </c:pt>
                <c:pt idx="18">
                  <c:v>2105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A1-46C9-9530-107D2A974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1834858991"/>
        <c:axId val="1"/>
      </c:barChart>
      <c:catAx>
        <c:axId val="183485899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83485899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173348744"/>
          <c:y val="0.47374857370978457"/>
          <c:w val="0.23386375785595603"/>
          <c:h val="6.81063334733555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0.10693299120357559"/>
          <c:w val="0.87087270341207579"/>
          <c:h val="0.70271204917276497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68-484D-A15F-4DD6D45562E5}"/>
                </c:ext>
              </c:extLst>
            </c:dLbl>
            <c:dLbl>
              <c:idx val="1"/>
              <c:layout>
                <c:manualLayout>
                  <c:x val="-2.7777777777777991E-2"/>
                  <c:y val="2.314814814814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68-484D-A15F-4DD6D45562E5}"/>
                </c:ext>
              </c:extLst>
            </c:dLbl>
            <c:dLbl>
              <c:idx val="2"/>
              <c:layout>
                <c:manualLayout>
                  <c:x val="-3.6850072640002604E-2"/>
                  <c:y val="4.804631478481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68-484D-A15F-4DD6D45562E5}"/>
                </c:ext>
              </c:extLst>
            </c:dLbl>
            <c:dLbl>
              <c:idx val="3"/>
              <c:layout>
                <c:manualLayout>
                  <c:x val="-2.9255861365953109E-2"/>
                  <c:y val="2.5254618292330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68-484D-A15F-4DD6D45562E5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68-484D-A15F-4DD6D45562E5}"/>
                </c:ext>
              </c:extLst>
            </c:dLbl>
            <c:dLbl>
              <c:idx val="5"/>
              <c:layout>
                <c:manualLayout>
                  <c:x val="-3.0555555555555582E-2"/>
                  <c:y val="2.7777777777777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68-484D-A15F-4DD6D45562E5}"/>
                </c:ext>
              </c:extLst>
            </c:dLbl>
            <c:dLbl>
              <c:idx val="6"/>
              <c:layout>
                <c:manualLayout>
                  <c:x val="-2.3878735341568542E-2"/>
                  <c:y val="3.0657423802885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368-484D-A15F-4DD6D45562E5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68-484D-A15F-4DD6D45562E5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368-484D-A15F-4DD6D45562E5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368-484D-A15F-4DD6D45562E5}"/>
                </c:ext>
              </c:extLst>
            </c:dLbl>
            <c:dLbl>
              <c:idx val="10"/>
              <c:layout>
                <c:manualLayout>
                  <c:x val="-2.9077512099978328E-2"/>
                  <c:y val="3.8789888106092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368-484D-A15F-4DD6D45562E5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368-484D-A15F-4DD6D45562E5}"/>
                </c:ext>
              </c:extLst>
            </c:dLbl>
            <c:dLbl>
              <c:idx val="12"/>
              <c:layout>
                <c:manualLayout>
                  <c:x val="-1.2232415902140822E-2"/>
                  <c:y val="6.3191153238546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368-484D-A15F-4DD6D45562E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'[pom_tabl_2019_2020_2024.xls]zaplati II 2024'!$B$4:$B$16</c:f>
              <c:strCache>
                <c:ptCount val="13"/>
                <c:pt idx="0">
                  <c:v>II 2021</c:v>
                </c:pt>
                <c:pt idx="1">
                  <c:v>III 2021</c:v>
                </c:pt>
                <c:pt idx="2">
                  <c:v>IV 2021</c:v>
                </c:pt>
                <c:pt idx="3">
                  <c:v>I 2022</c:v>
                </c:pt>
                <c:pt idx="4">
                  <c:v>II 2022</c:v>
                </c:pt>
                <c:pt idx="5">
                  <c:v>III 2022</c:v>
                </c:pt>
                <c:pt idx="6">
                  <c:v>IV 2022</c:v>
                </c:pt>
                <c:pt idx="7">
                  <c:v>I 2023</c:v>
                </c:pt>
                <c:pt idx="8">
                  <c:v>II 2023</c:v>
                </c:pt>
                <c:pt idx="9">
                  <c:v>III 2023</c:v>
                </c:pt>
                <c:pt idx="10">
                  <c:v>IV 2023</c:v>
                </c:pt>
                <c:pt idx="11">
                  <c:v>I 2024</c:v>
                </c:pt>
                <c:pt idx="12">
                  <c:v>II 2024</c:v>
                </c:pt>
              </c:strCache>
            </c:strRef>
          </c:cat>
          <c:val>
            <c:numRef>
              <c:f>'[pom_tabl_2019_2020_2024.xls]zaplati II 2024'!$C$4:$C$16</c:f>
              <c:numCache>
                <c:formatCode>[$-10409]0</c:formatCode>
                <c:ptCount val="13"/>
                <c:pt idx="0">
                  <c:v>1123</c:v>
                </c:pt>
                <c:pt idx="1">
                  <c:v>1093</c:v>
                </c:pt>
                <c:pt idx="2">
                  <c:v>1171</c:v>
                </c:pt>
                <c:pt idx="3">
                  <c:v>1145</c:v>
                </c:pt>
                <c:pt idx="4">
                  <c:v>1267</c:v>
                </c:pt>
                <c:pt idx="5">
                  <c:v>1271</c:v>
                </c:pt>
                <c:pt idx="6">
                  <c:v>1366</c:v>
                </c:pt>
                <c:pt idx="7">
                  <c:v>1385</c:v>
                </c:pt>
                <c:pt idx="8">
                  <c:v>1446</c:v>
                </c:pt>
                <c:pt idx="9">
                  <c:v>1495</c:v>
                </c:pt>
                <c:pt idx="10">
                  <c:v>1582</c:v>
                </c:pt>
                <c:pt idx="11">
                  <c:v>1607</c:v>
                </c:pt>
                <c:pt idx="12" formatCode="General">
                  <c:v>1673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368-484D-A15F-4DD6D4556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7281887"/>
        <c:axId val="1"/>
      </c:lineChart>
      <c:catAx>
        <c:axId val="19372818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[$-10409]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937281887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0.8467</cdr:x>
      <cdr:y>0.90415</cdr:y>
    </cdr:from>
    <cdr:to>
      <cdr:x>0.94535</cdr:x>
      <cdr:y>0.93614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15825" y="8190010"/>
          <a:ext cx="567488" cy="289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0.01835</cdr:x>
      <cdr:y>0.00639</cdr:y>
    </cdr:from>
    <cdr:to>
      <cdr:x>0.12844</cdr:x>
      <cdr:y>0.08946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1" y="25441"/>
          <a:ext cx="685800" cy="330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8</cp:revision>
  <cp:lastPrinted>2024-08-20T13:43:00Z</cp:lastPrinted>
  <dcterms:created xsi:type="dcterms:W3CDTF">2024-08-20T11:41:00Z</dcterms:created>
  <dcterms:modified xsi:type="dcterms:W3CDTF">2024-08-21T06:45:00Z</dcterms:modified>
</cp:coreProperties>
</file>