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E9" w:rsidRDefault="004310E9" w:rsidP="004310E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310E9" w:rsidRDefault="004310E9" w:rsidP="004310E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310E9" w:rsidRDefault="004310E9" w:rsidP="004310E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310E9" w:rsidRDefault="004310E9" w:rsidP="004310E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310E9" w:rsidRDefault="004310E9" w:rsidP="004310E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E1E2" wp14:editId="102B76BE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0E9" w:rsidRPr="004F6479" w:rsidRDefault="004310E9" w:rsidP="004310E9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4310E9" w:rsidRPr="004F6479" w:rsidRDefault="004310E9" w:rsidP="004310E9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9E1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4310E9" w:rsidRPr="004F6479" w:rsidRDefault="004310E9" w:rsidP="004310E9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4310E9" w:rsidRPr="004F6479" w:rsidRDefault="004310E9" w:rsidP="004310E9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10E9" w:rsidRDefault="004310E9" w:rsidP="004310E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310E9" w:rsidRDefault="004310E9" w:rsidP="004310E9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4310E9" w:rsidRPr="009C4CC6" w:rsidRDefault="004310E9" w:rsidP="004310E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НАЕТИ ЛИЦА И СРЕДНА БРУТНА РАБОТНА ЗАПЛАТА</w:t>
      </w:r>
    </w:p>
    <w:p w:rsidR="004310E9" w:rsidRPr="002A2216" w:rsidRDefault="004310E9" w:rsidP="004310E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ТРЕТО</w:t>
      </w:r>
      <w:r w:rsidRPr="009C4CC6">
        <w:rPr>
          <w:rFonts w:ascii="Verdana" w:eastAsia="Μοντέρνα" w:hAnsi="Verdana" w:cs="Times New Roman"/>
          <w:b/>
          <w:sz w:val="20"/>
          <w:szCs w:val="20"/>
          <w:lang w:eastAsia="bg-BG"/>
        </w:rPr>
        <w:t>ТО ТРИМЕСЕЧИЕ НА 2024 ГОДИНА</w:t>
      </w: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предварителни данни на Националния статистически институт </w:t>
      </w:r>
      <w:r w:rsidRPr="007917F2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</w:t>
      </w:r>
      <w:r w:rsidR="00EE537A">
        <w:rPr>
          <w:rFonts w:ascii="Verdana" w:eastAsia="Μοντέρνα" w:hAnsi="Verdana" w:cs="Times New Roman"/>
          <w:b/>
          <w:sz w:val="20"/>
          <w:szCs w:val="20"/>
          <w:lang w:eastAsia="bg-BG"/>
        </w:rPr>
        <w:t>т</w:t>
      </w:r>
      <w:r w:rsidRPr="007917F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на наетите лица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трудово и служебно правоотношение в област Сливен към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0.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или с 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>1.0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спрямо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като достига</w:t>
      </w:r>
      <w:bookmarkStart w:id="0" w:name="_GoBack"/>
      <w:bookmarkEnd w:id="0"/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37.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хиляди (фиг. 1).</w:t>
      </w:r>
    </w:p>
    <w:p w:rsidR="004310E9" w:rsidRPr="0025471C" w:rsidRDefault="004310E9" w:rsidP="004310E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Наети лица по трудово и служебно правоотношение в област Сливен</w:t>
      </w:r>
    </w:p>
    <w:p w:rsidR="004310E9" w:rsidRPr="002A2216" w:rsidRDefault="004310E9" w:rsidP="004310E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към края на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юни</w:t>
      </w: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септември</w:t>
      </w: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4310E9" w:rsidRPr="002A2216" w:rsidRDefault="00A70910" w:rsidP="004310E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319232A" wp14:editId="6FB8238D">
            <wp:extent cx="5162550" cy="51530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10E9" w:rsidRPr="002A221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Спрямо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наетите лица в обществения сектор 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увеличават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>3.1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(достигат до 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>12.2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хил.), а в частния сектор 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>намаляват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>2.9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(достигат до </w:t>
      </w:r>
      <w:r w:rsidR="00110B21">
        <w:rPr>
          <w:rFonts w:ascii="Verdana" w:eastAsia="Μοντέρνα" w:hAnsi="Verdana" w:cs="Times New Roman"/>
          <w:sz w:val="20"/>
          <w:szCs w:val="20"/>
          <w:lang w:eastAsia="bg-BG"/>
        </w:rPr>
        <w:t>24.8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хил.).</w:t>
      </w: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юни 2024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най-голямо намаление на наетите лица по трудово и служебно правоотношение в абсолютна стойност е регистрирано в икономическите дейности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51938" w:rsidRPr="009C4CC6">
        <w:rPr>
          <w:rFonts w:ascii="Verdana" w:eastAsia="Μοντέρνα" w:hAnsi="Verdana" w:cs="Times New Roman"/>
          <w:sz w:val="20"/>
          <w:szCs w:val="20"/>
          <w:lang w:eastAsia="bg-BG"/>
        </w:rPr>
        <w:t>„Преработваща промишленост“</w:t>
      </w:r>
      <w:r w:rsidR="00C51938">
        <w:rPr>
          <w:rFonts w:ascii="Verdana" w:eastAsia="Μοντέρνα" w:hAnsi="Verdana" w:cs="Times New Roman"/>
          <w:sz w:val="20"/>
          <w:szCs w:val="20"/>
          <w:lang w:eastAsia="bg-BG"/>
        </w:rPr>
        <w:t>, „Селско, горско и рибно стопанство“ и „</w:t>
      </w:r>
      <w:r w:rsidR="00C51938" w:rsidRPr="00C51938">
        <w:rPr>
          <w:rFonts w:ascii="Verdana" w:eastAsia="Μοντέρνα" w:hAnsi="Verdana" w:cs="Times New Roman"/>
          <w:sz w:val="20"/>
          <w:szCs w:val="20"/>
          <w:lang w:eastAsia="bg-BG"/>
        </w:rPr>
        <w:t>Хотелиерство и ресторантьорство</w:t>
      </w:r>
      <w:r w:rsidR="00C51938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Най-голямо увеличение на наетите лица се наблюдава в икономическите дейности:</w:t>
      </w:r>
      <w:r w:rsidR="00C51938" w:rsidRPr="00C5193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51938" w:rsidRPr="009C4CC6">
        <w:rPr>
          <w:rFonts w:ascii="Verdana" w:eastAsia="Μοντέρνα" w:hAnsi="Verdana" w:cs="Times New Roman"/>
          <w:sz w:val="20"/>
          <w:szCs w:val="20"/>
          <w:lang w:eastAsia="bg-BG"/>
        </w:rPr>
        <w:t>„Хуманно здравеопазване и социална работа“</w:t>
      </w:r>
      <w:r w:rsidR="00C5193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A704E9" w:rsidRPr="009C4CC6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A704E9">
        <w:rPr>
          <w:rFonts w:ascii="Verdana" w:eastAsia="Μοντέρνα" w:hAnsi="Verdana" w:cs="Times New Roman"/>
          <w:sz w:val="20"/>
          <w:szCs w:val="20"/>
          <w:lang w:eastAsia="bg-BG"/>
        </w:rPr>
        <w:t>Административни и спомагателни</w:t>
      </w:r>
      <w:r w:rsidR="00A704E9"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дейности“</w:t>
      </w:r>
      <w:r w:rsidR="00A704E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„Държавно управление“</w:t>
      </w:r>
      <w:r w:rsidR="00A704E9" w:rsidRPr="009C4CC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края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броят на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наетите лица по трудово и служебно правоотношение в област Сливен </w:t>
      </w:r>
      <w:r w:rsidR="00A704E9">
        <w:rPr>
          <w:rFonts w:ascii="Verdana" w:eastAsia="Μοντέρνα" w:hAnsi="Verdana" w:cs="Times New Roman"/>
          <w:sz w:val="20"/>
          <w:szCs w:val="20"/>
          <w:lang w:eastAsia="bg-BG"/>
        </w:rPr>
        <w:t>намалява с 0.5%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период на предходната година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 В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обществения сектор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наетите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увеличават с </w:t>
      </w:r>
      <w:r w:rsidR="00A704E9">
        <w:rPr>
          <w:rFonts w:ascii="Verdana" w:eastAsia="Μοντέρνα" w:hAnsi="Verdana" w:cs="Times New Roman"/>
          <w:sz w:val="20"/>
          <w:szCs w:val="20"/>
          <w:lang w:eastAsia="bg-BG"/>
        </w:rPr>
        <w:t>5.1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в частния сектор намаляват с </w:t>
      </w:r>
      <w:r w:rsidR="00A704E9">
        <w:rPr>
          <w:rFonts w:ascii="Verdana" w:eastAsia="Μοντέρνα" w:hAnsi="Verdana" w:cs="Times New Roman"/>
          <w:sz w:val="20"/>
          <w:szCs w:val="20"/>
          <w:lang w:eastAsia="bg-BG"/>
        </w:rPr>
        <w:t>3.0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структурата на наетите лица по икономически дейности най-голям е относителният дял на наетите по трудово и служебно правоотношение в дейностите „Преработваща промишленост“ - </w:t>
      </w:r>
      <w:r w:rsidR="00A704E9">
        <w:rPr>
          <w:rFonts w:ascii="Verdana" w:eastAsia="Μοντέρνα" w:hAnsi="Verdana" w:cs="Times New Roman"/>
          <w:sz w:val="20"/>
          <w:szCs w:val="20"/>
          <w:lang w:eastAsia="bg-BG"/>
        </w:rPr>
        <w:t>27.4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%, „Търговия; Ремонт на автомобили и мотоциклети“ - 15.</w:t>
      </w:r>
      <w:r w:rsidR="00A704E9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 и „Хуманно здравеопазване и социална работа“ - 12.</w:t>
      </w:r>
      <w:r w:rsidR="00A704E9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</w:t>
      </w:r>
      <w:r w:rsidRPr="007917F2">
        <w:rPr>
          <w:rFonts w:ascii="Verdana" w:eastAsia="Μοντέρνα" w:hAnsi="Verdana" w:cs="Times New Roman"/>
          <w:b/>
          <w:sz w:val="20"/>
          <w:szCs w:val="20"/>
          <w:lang w:eastAsia="bg-BG"/>
        </w:rPr>
        <w:t>средната брутна месечна работна заплата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2024 г. е 1 6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при 2 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275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 средна за страната.</w:t>
      </w: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останалите области на страната, по показателя средна брутна месечна работна заплата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г., област Сливен се нарежда на 22-ро място. Най-висока средна работна заплата получават наетите в област София (столица) - 3 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100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а най-ниска - в областите </w:t>
      </w:r>
      <w:r w:rsidR="009E4C54"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Смолян - 1 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524</w:t>
      </w:r>
      <w:r w:rsidR="009E4C54"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9E4C54"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Благоевград - 1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48 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лв.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Видин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- 1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52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лева.</w:t>
      </w: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средната месечна работна заплата за област Сливен 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е намаляла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второто тримесечие на 2024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 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0.2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като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обществения сектор средната месечна заплата 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бележи спад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2.4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достига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E4C54">
        <w:rPr>
          <w:rFonts w:ascii="Verdana" w:eastAsia="Μοντέρνα" w:hAnsi="Verdana" w:cs="Times New Roman"/>
          <w:sz w:val="20"/>
          <w:szCs w:val="20"/>
          <w:lang w:eastAsia="bg-BG"/>
        </w:rPr>
        <w:t>075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лв., а в частния </w:t>
      </w:r>
      <w:r w:rsidR="009D7C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нараснала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D7C63">
        <w:rPr>
          <w:rFonts w:ascii="Verdana" w:eastAsia="Μοντέρνα" w:hAnsi="Verdana" w:cs="Times New Roman"/>
          <w:sz w:val="20"/>
          <w:szCs w:val="20"/>
          <w:lang w:eastAsia="bg-BG"/>
        </w:rPr>
        <w:t>0.8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%, достигайки 1 4</w:t>
      </w:r>
      <w:r w:rsidR="009D7C63">
        <w:rPr>
          <w:rFonts w:ascii="Verdana" w:eastAsia="Μοντέρνα" w:hAnsi="Verdana" w:cs="Times New Roman"/>
          <w:sz w:val="20"/>
          <w:szCs w:val="20"/>
          <w:lang w:eastAsia="bg-BG"/>
        </w:rPr>
        <w:t>78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лева.</w:t>
      </w:r>
    </w:p>
    <w:p w:rsidR="004310E9" w:rsidRPr="002A221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г. средната месечна работна заплата за област Сливен нараства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9D7C63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.7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трето</w:t>
      </w: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2023 година (фиг. 2).</w:t>
      </w:r>
    </w:p>
    <w:p w:rsidR="004310E9" w:rsidRDefault="004310E9" w:rsidP="004310E9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:rsidR="004310E9" w:rsidRDefault="004310E9" w:rsidP="004310E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4310E9" w:rsidRPr="002A2216" w:rsidRDefault="004310E9" w:rsidP="004310E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Средна брутна месечна работна заплата по тримесечия в област Сливен</w:t>
      </w:r>
    </w:p>
    <w:p w:rsidR="004310E9" w:rsidRPr="002A2216" w:rsidRDefault="00A70910" w:rsidP="004310E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7C0E24E4" wp14:editId="487AAB2C">
            <wp:extent cx="5760085" cy="368173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10E9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4310E9" w:rsidRPr="0025471C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5471C">
        <w:rPr>
          <w:rFonts w:ascii="Verdana" w:eastAsia="Μοντέρνα" w:hAnsi="Verdana" w:cs="Times New Roman"/>
          <w:sz w:val="20"/>
          <w:szCs w:val="20"/>
          <w:lang w:eastAsia="bg-BG"/>
        </w:rPr>
        <w:t>Най-висока средна брутна месечна заплата получават наетите в секторите "Производство и разпределение на електрическа и топлинна енергия и на газообразни горива", „Образование”</w:t>
      </w:r>
      <w:r w:rsidR="009D7C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„Добивна промишленост“</w:t>
      </w:r>
      <w:r w:rsidRPr="0025471C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4310E9" w:rsidRDefault="004310E9" w:rsidP="004310E9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:rsidR="004310E9" w:rsidRPr="002A221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4310E9" w:rsidRPr="002A2216" w:rsidRDefault="004310E9" w:rsidP="004310E9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4310E9" w:rsidRPr="002A221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получени от тримесечното Наблюдение на наетите лица, отработеното време, средствата за работна заплата и други разходи за труд, което има за цел да изследва текущото състояние и динамика на основни аспекти на пазара на труда.</w:t>
      </w:r>
    </w:p>
    <w:p w:rsidR="004310E9" w:rsidRPr="009C4CC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Наблюдението е репрезентативно, като се използва стратифицирана случайна извадка от предприятия. Генералната съвкупност се стратифицира по следните критерии: териториален признак - 28 административни области, икономическа дейност по КИД-2008 и размер на предприятието, според броя на наетите лица.</w:t>
      </w:r>
    </w:p>
    <w:p w:rsidR="004310E9" w:rsidRPr="002A2216" w:rsidRDefault="004310E9" w:rsidP="004310E9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за наетите лица, отработеното време, средствата за работна заплата и други разходи за труд са достъпни в Информационна система „Инфостат“ (</w:t>
      </w:r>
      <w:hyperlink r:id="rId8" w:history="1">
        <w:r w:rsidRPr="009C4CC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https://infostat.nsi.bg/infostat/pages/module.jsf?x_2=93</w:t>
        </w:r>
      </w:hyperlink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„Пазар на труда“ (</w:t>
      </w:r>
      <w:hyperlink r:id="rId9" w:history="1">
        <w:r w:rsidRPr="009C4CC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http://www.nsi.bg/node/3920/</w:t>
        </w:r>
      </w:hyperlink>
      <w:r w:rsidRPr="009C4CC6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p w:rsidR="00265ACF" w:rsidRDefault="00265ACF"/>
    <w:sectPr w:rsidR="00265ACF" w:rsidSect="00CD14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D1" w:rsidRDefault="00F364D1">
      <w:r>
        <w:separator/>
      </w:r>
    </w:p>
  </w:endnote>
  <w:endnote w:type="continuationSeparator" w:id="0">
    <w:p w:rsidR="00F364D1" w:rsidRDefault="00F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A70910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B09BA12" wp14:editId="0F3400DC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F3C58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911B3DD" wp14:editId="172E0B1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F19F99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6D2B9A" wp14:editId="632EAB8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A70910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537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6D2B9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A70910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E537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A70910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A70910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8E5BE" wp14:editId="48F260CC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A7091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537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D8E5B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A7091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E537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78437C" wp14:editId="41C1A990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5B7A2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D1" w:rsidRDefault="00F364D1">
      <w:r>
        <w:separator/>
      </w:r>
    </w:p>
  </w:footnote>
  <w:footnote w:type="continuationSeparator" w:id="0">
    <w:p w:rsidR="00F364D1" w:rsidRDefault="00F3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A70910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5A6AC8" wp14:editId="09BF4D6B">
              <wp:simplePos x="0" y="0"/>
              <wp:positionH relativeFrom="column">
                <wp:posOffset>-156210</wp:posOffset>
              </wp:positionH>
              <wp:positionV relativeFrom="paragraph">
                <wp:posOffset>-1075689</wp:posOffset>
              </wp:positionV>
              <wp:extent cx="6066790" cy="53466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34669"/>
                        <a:chOff x="0" y="-219074"/>
                        <a:chExt cx="6066790" cy="5346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275" y="-219074"/>
                          <a:ext cx="519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CE7" w:rsidRPr="00E50CE7" w:rsidRDefault="00A70910" w:rsidP="00E50CE7">
                            <w:pPr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E50CE7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НАЕТИ ЛИЦА И СРЕДНА БРУТНА РАБОТНА ЗАПЛАТА</w:t>
                            </w:r>
                          </w:p>
                          <w:p w:rsidR="00054328" w:rsidRPr="00101DE0" w:rsidRDefault="00A70910" w:rsidP="00E50CE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50CE7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 ОБЛАСТ СЛИВЕН ПРЕЗ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ТРЕТО</w:t>
                            </w:r>
                            <w:r w:rsidRPr="00E50CE7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ТО ТРИМЕСЕЧИЕ НА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5A6AC8" id="Group 7" o:spid="_x0000_s1027" style="position:absolute;margin-left:-12.3pt;margin-top:-84.7pt;width:477.7pt;height:42.1pt;z-index:251661312;mso-height-relative:margin" coordorigin=",-2190" coordsize="60667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52;top:-2190;width:51912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E50CE7" w:rsidRPr="00E50CE7" w:rsidRDefault="00A70910" w:rsidP="00E50CE7">
                      <w:pPr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E50CE7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НАЕТИ ЛИЦА И СРЕДНА БРУТНА РАБОТНА ЗАПЛАТА</w:t>
                      </w:r>
                    </w:p>
                    <w:p w:rsidR="00054328" w:rsidRPr="00101DE0" w:rsidRDefault="00A70910" w:rsidP="00E50CE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50CE7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ТРЕТО</w:t>
                      </w:r>
                      <w:r w:rsidRPr="00E50CE7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ТО ТРИМЕСЕЧИЕ НА 2024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A70910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7657AC" wp14:editId="270E12DD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827C6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61F676A9" wp14:editId="47330B15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C3D0EBB" wp14:editId="1D6AD734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A70910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A70910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3D0EBB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A70910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A70910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6CEB35E" wp14:editId="62C3EFF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3D8F7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E9"/>
    <w:rsid w:val="00110B21"/>
    <w:rsid w:val="00265ACF"/>
    <w:rsid w:val="004310E9"/>
    <w:rsid w:val="00831F52"/>
    <w:rsid w:val="009D7C63"/>
    <w:rsid w:val="009E4C54"/>
    <w:rsid w:val="00A704E9"/>
    <w:rsid w:val="00A70910"/>
    <w:rsid w:val="00B40BF8"/>
    <w:rsid w:val="00C51938"/>
    <w:rsid w:val="00C56083"/>
    <w:rsid w:val="00EE537A"/>
    <w:rsid w:val="00F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C50C7"/>
  <w15:chartTrackingRefBased/>
  <w15:docId w15:val="{5F546B7A-36F9-40E5-B70A-C279FC7B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E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0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0E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0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0E9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10E9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310E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1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93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si.bg/node/3920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Naeti_sr_rz\Trud_2024\pom_tabl_2019_2020_2024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Naeti_sr_rz\Trud_2024\pom_tabl_2019_2020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618123906386787"/>
          <c:y val="2.1559997308028812E-2"/>
          <c:w val="0.43273926947568386"/>
          <c:h val="0.89959294436906356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'naeti III 2024'!$B$1</c:f>
              <c:strCache>
                <c:ptCount val="1"/>
                <c:pt idx="0">
                  <c:v>юни 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III 2024'!$A$2:$A$20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III 2024'!$B$2:$B$20</c:f>
              <c:numCache>
                <c:formatCode>General</c:formatCode>
                <c:ptCount val="19"/>
                <c:pt idx="0">
                  <c:v>550</c:v>
                </c:pt>
                <c:pt idx="1">
                  <c:v>523</c:v>
                </c:pt>
                <c:pt idx="2">
                  <c:v>4514</c:v>
                </c:pt>
                <c:pt idx="3">
                  <c:v>3834</c:v>
                </c:pt>
                <c:pt idx="4">
                  <c:v>1961</c:v>
                </c:pt>
                <c:pt idx="5">
                  <c:v>1439</c:v>
                </c:pt>
                <c:pt idx="6">
                  <c:v>465</c:v>
                </c:pt>
                <c:pt idx="7">
                  <c:v>233</c:v>
                </c:pt>
                <c:pt idx="8">
                  <c:v>172</c:v>
                </c:pt>
                <c:pt idx="9">
                  <c:v>97</c:v>
                </c:pt>
                <c:pt idx="10">
                  <c:v>1175</c:v>
                </c:pt>
                <c:pt idx="11">
                  <c:v>1486</c:v>
                </c:pt>
                <c:pt idx="12">
                  <c:v>5649</c:v>
                </c:pt>
                <c:pt idx="13">
                  <c:v>1688</c:v>
                </c:pt>
                <c:pt idx="14">
                  <c:v>503</c:v>
                </c:pt>
                <c:pt idx="15">
                  <c:v>419</c:v>
                </c:pt>
                <c:pt idx="16">
                  <c:v>10471</c:v>
                </c:pt>
                <c:pt idx="17">
                  <c:v>94</c:v>
                </c:pt>
                <c:pt idx="18">
                  <c:v>2105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53-4E70-8760-CC19369D4838}"/>
            </c:ext>
          </c:extLst>
        </c:ser>
        <c:ser>
          <c:idx val="0"/>
          <c:order val="1"/>
          <c:tx>
            <c:strRef>
              <c:f>'naeti III 2024'!$C$1</c:f>
              <c:strCache>
                <c:ptCount val="1"/>
                <c:pt idx="0">
                  <c:v>септември 2024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'naeti III 2024'!$A$2:$A$20</c:f>
              <c:strCache>
                <c:ptCount val="19"/>
                <c:pt idx="0">
                  <c:v>Други дейности</c:v>
                </c:pt>
                <c:pt idx="1">
                  <c:v>Култура, спорт и развлечения</c:v>
                </c:pt>
                <c:pt idx="2">
                  <c:v>Хуманно здравеопазване</c:v>
                </c:pt>
                <c:pt idx="3">
                  <c:v>Образование</c:v>
                </c:pt>
                <c:pt idx="4">
                  <c:v>Държавно управление</c:v>
                </c:pt>
                <c:pt idx="5">
                  <c:v>Административни и спомагателни дейности</c:v>
                </c:pt>
                <c:pt idx="6">
                  <c:v>Професионални дейности и научни изследвания</c:v>
                </c:pt>
                <c:pt idx="7">
                  <c:v>Операции с недвижими имоти</c:v>
                </c:pt>
                <c:pt idx="8">
                  <c:v>Финансови и застрахователни дейности</c:v>
                </c:pt>
                <c:pt idx="9">
                  <c:v>Далекосъобщения</c:v>
                </c:pt>
                <c:pt idx="10">
                  <c:v>Хотелиерство и ресторантьорство</c:v>
                </c:pt>
                <c:pt idx="11">
                  <c:v>Транспорт, складиране и пощи</c:v>
                </c:pt>
                <c:pt idx="12">
                  <c:v>Търговия, ремонт на автомобили</c:v>
                </c:pt>
                <c:pt idx="13">
                  <c:v>Строителство</c:v>
                </c:pt>
                <c:pt idx="14">
                  <c:v>Доставяне на води</c:v>
                </c:pt>
                <c:pt idx="15">
                  <c:v>Производство и разпределение на електрическа и топлинна енергия</c:v>
                </c:pt>
                <c:pt idx="16">
                  <c:v>Преработваща промишленост</c:v>
                </c:pt>
                <c:pt idx="17">
                  <c:v>Добивна промишленост</c:v>
                </c:pt>
                <c:pt idx="18">
                  <c:v>Селско, горско и рибно стопанство</c:v>
                </c:pt>
              </c:strCache>
            </c:strRef>
          </c:cat>
          <c:val>
            <c:numRef>
              <c:f>'naeti III 2024'!$C$2:$C$20</c:f>
              <c:numCache>
                <c:formatCode>General</c:formatCode>
                <c:ptCount val="19"/>
                <c:pt idx="0">
                  <c:v>557</c:v>
                </c:pt>
                <c:pt idx="1">
                  <c:v>479</c:v>
                </c:pt>
                <c:pt idx="2">
                  <c:v>4752</c:v>
                </c:pt>
                <c:pt idx="3">
                  <c:v>3798</c:v>
                </c:pt>
                <c:pt idx="4">
                  <c:v>1971</c:v>
                </c:pt>
                <c:pt idx="5">
                  <c:v>1521</c:v>
                </c:pt>
                <c:pt idx="6">
                  <c:v>463</c:v>
                </c:pt>
                <c:pt idx="7">
                  <c:v>236</c:v>
                </c:pt>
                <c:pt idx="8">
                  <c:v>172</c:v>
                </c:pt>
                <c:pt idx="9">
                  <c:v>97</c:v>
                </c:pt>
                <c:pt idx="10">
                  <c:v>1087</c:v>
                </c:pt>
                <c:pt idx="11">
                  <c:v>1490</c:v>
                </c:pt>
                <c:pt idx="12">
                  <c:v>5641</c:v>
                </c:pt>
                <c:pt idx="13">
                  <c:v>1608</c:v>
                </c:pt>
                <c:pt idx="14">
                  <c:v>496</c:v>
                </c:pt>
                <c:pt idx="15">
                  <c:v>401</c:v>
                </c:pt>
                <c:pt idx="16">
                  <c:v>10124</c:v>
                </c:pt>
                <c:pt idx="17">
                  <c:v>90</c:v>
                </c:pt>
                <c:pt idx="18">
                  <c:v>2008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53-4E70-8760-CC19369D48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445704880"/>
        <c:axId val="1"/>
      </c:barChart>
      <c:catAx>
        <c:axId val="445704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445704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73769173348744"/>
          <c:y val="0.47374857370978457"/>
          <c:w val="0.23386375785595603"/>
          <c:h val="6.81063334733555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71741032371027E-2"/>
          <c:y val="0.10693299120357559"/>
          <c:w val="0.87087270341207579"/>
          <c:h val="0.70271204917276497"/>
        </c:manualLayout>
      </c:layout>
      <c:lineChart>
        <c:grouping val="standard"/>
        <c:varyColors val="0"/>
        <c:ser>
          <c:idx val="0"/>
          <c:order val="0"/>
          <c:spPr>
            <a:ln w="12700"/>
          </c:spPr>
          <c:dLbls>
            <c:dLbl>
              <c:idx val="0"/>
              <c:layout>
                <c:manualLayout>
                  <c:x val="-2.4999999999999981E-2"/>
                  <c:y val="3.703703703703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1A-4B76-A67F-A196B8442C0A}"/>
                </c:ext>
              </c:extLst>
            </c:dLbl>
            <c:dLbl>
              <c:idx val="1"/>
              <c:layout>
                <c:manualLayout>
                  <c:x val="-2.7777777777777991E-2"/>
                  <c:y val="2.3148148148148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1A-4B76-A67F-A196B8442C0A}"/>
                </c:ext>
              </c:extLst>
            </c:dLbl>
            <c:dLbl>
              <c:idx val="2"/>
              <c:layout>
                <c:manualLayout>
                  <c:x val="-3.6850072640002604E-2"/>
                  <c:y val="4.8046314784814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1A-4B76-A67F-A196B8442C0A}"/>
                </c:ext>
              </c:extLst>
            </c:dLbl>
            <c:dLbl>
              <c:idx val="3"/>
              <c:layout>
                <c:manualLayout>
                  <c:x val="-2.9255861365953109E-2"/>
                  <c:y val="2.5254618292330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1A-4B76-A67F-A196B8442C0A}"/>
                </c:ext>
              </c:extLst>
            </c:dLbl>
            <c:dLbl>
              <c:idx val="4"/>
              <c:layout>
                <c:manualLayout>
                  <c:x val="-3.6111111111111212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1A-4B76-A67F-A196B8442C0A}"/>
                </c:ext>
              </c:extLst>
            </c:dLbl>
            <c:dLbl>
              <c:idx val="5"/>
              <c:layout>
                <c:manualLayout>
                  <c:x val="-3.0555555555555582E-2"/>
                  <c:y val="2.7777777777777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1A-4B76-A67F-A196B8442C0A}"/>
                </c:ext>
              </c:extLst>
            </c:dLbl>
            <c:dLbl>
              <c:idx val="6"/>
              <c:layout>
                <c:manualLayout>
                  <c:x val="-2.3878735341568542E-2"/>
                  <c:y val="3.0657423802885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D1A-4B76-A67F-A196B8442C0A}"/>
                </c:ext>
              </c:extLst>
            </c:dLbl>
            <c:dLbl>
              <c:idx val="7"/>
              <c:layout>
                <c:manualLayout>
                  <c:x val="-3.5550418582998303E-2"/>
                  <c:y val="6.0169033894686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1A-4B76-A67F-A196B8442C0A}"/>
                </c:ext>
              </c:extLst>
            </c:dLbl>
            <c:dLbl>
              <c:idx val="8"/>
              <c:layout>
                <c:manualLayout>
                  <c:x val="-3.8888888888888994E-2"/>
                  <c:y val="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1A-4B76-A67F-A196B8442C0A}"/>
                </c:ext>
              </c:extLst>
            </c:dLbl>
            <c:dLbl>
              <c:idx val="9"/>
              <c:layout>
                <c:manualLayout>
                  <c:x val="-3.6111151243709366E-2"/>
                  <c:y val="3.8295344660864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1A-4B76-A67F-A196B8442C0A}"/>
                </c:ext>
              </c:extLst>
            </c:dLbl>
            <c:dLbl>
              <c:idx val="10"/>
              <c:layout>
                <c:manualLayout>
                  <c:x val="-2.9077512099978328E-2"/>
                  <c:y val="3.8789888106092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D1A-4B76-A67F-A196B8442C0A}"/>
                </c:ext>
              </c:extLst>
            </c:dLbl>
            <c:dLbl>
              <c:idx val="11"/>
              <c:layout>
                <c:manualLayout>
                  <c:x val="-4.0774719673802244E-2"/>
                  <c:y val="5.69626643559507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D1A-4B76-A67F-A196B8442C0A}"/>
                </c:ext>
              </c:extLst>
            </c:dLbl>
            <c:dLbl>
              <c:idx val="12"/>
              <c:layout>
                <c:manualLayout>
                  <c:x val="-1.2232415902140822E-2"/>
                  <c:y val="6.3191153238546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D1A-4B76-A67F-A196B8442C0A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'zaplati III 2024'!$B$5:$B$17</c:f>
              <c:strCache>
                <c:ptCount val="13"/>
                <c:pt idx="0">
                  <c:v>III 2021</c:v>
                </c:pt>
                <c:pt idx="1">
                  <c:v>IV 2021</c:v>
                </c:pt>
                <c:pt idx="2">
                  <c:v>I 2022</c:v>
                </c:pt>
                <c:pt idx="3">
                  <c:v>II 2022</c:v>
                </c:pt>
                <c:pt idx="4">
                  <c:v>III 2022</c:v>
                </c:pt>
                <c:pt idx="5">
                  <c:v>IV 2022</c:v>
                </c:pt>
                <c:pt idx="6">
                  <c:v>I 2023</c:v>
                </c:pt>
                <c:pt idx="7">
                  <c:v>II 2023</c:v>
                </c:pt>
                <c:pt idx="8">
                  <c:v>III 2023</c:v>
                </c:pt>
                <c:pt idx="9">
                  <c:v>IV 2023</c:v>
                </c:pt>
                <c:pt idx="10">
                  <c:v>I 2024</c:v>
                </c:pt>
                <c:pt idx="11">
                  <c:v>II 2024</c:v>
                </c:pt>
                <c:pt idx="12">
                  <c:v>III 2024</c:v>
                </c:pt>
              </c:strCache>
            </c:strRef>
          </c:cat>
          <c:val>
            <c:numRef>
              <c:f>'zaplati III 2024'!$C$5:$C$17</c:f>
              <c:numCache>
                <c:formatCode>[$-10409]0</c:formatCode>
                <c:ptCount val="13"/>
                <c:pt idx="0">
                  <c:v>1093</c:v>
                </c:pt>
                <c:pt idx="1">
                  <c:v>1171</c:v>
                </c:pt>
                <c:pt idx="2">
                  <c:v>1145</c:v>
                </c:pt>
                <c:pt idx="3">
                  <c:v>1267</c:v>
                </c:pt>
                <c:pt idx="4">
                  <c:v>1271</c:v>
                </c:pt>
                <c:pt idx="5">
                  <c:v>1366</c:v>
                </c:pt>
                <c:pt idx="6">
                  <c:v>1385</c:v>
                </c:pt>
                <c:pt idx="7">
                  <c:v>1446</c:v>
                </c:pt>
                <c:pt idx="8">
                  <c:v>1495</c:v>
                </c:pt>
                <c:pt idx="9">
                  <c:v>1582</c:v>
                </c:pt>
                <c:pt idx="10">
                  <c:v>1607</c:v>
                </c:pt>
                <c:pt idx="11" formatCode="General">
                  <c:v>1673</c:v>
                </c:pt>
                <c:pt idx="12" formatCode="General">
                  <c:v>1670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D1A-4B76-A67F-A196B8442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0833664"/>
        <c:axId val="1"/>
      </c:lineChart>
      <c:catAx>
        <c:axId val="44083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700"/>
        </c:scaling>
        <c:delete val="0"/>
        <c:axPos val="l"/>
        <c:majorGridlines/>
        <c:numFmt formatCode="[$-10409]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bg-BG"/>
          </a:p>
        </c:txPr>
        <c:crossAx val="440833664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0.8467</cdr:x>
      <cdr:y>0.90415</cdr:y>
    </cdr:from>
    <cdr:to>
      <cdr:x>0.94535</cdr:x>
      <cdr:y>0.93614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15825" y="8190010"/>
          <a:ext cx="567488" cy="2897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itchFamily="18" charset="0"/>
              <a:cs typeface="Times New Roman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0.01835</cdr:x>
      <cdr:y>0.00639</cdr:y>
    </cdr:from>
    <cdr:to>
      <cdr:x>0.12844</cdr:x>
      <cdr:y>0.08946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1" y="25441"/>
          <a:ext cx="685800" cy="330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Левове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6</cp:revision>
  <cp:lastPrinted>2024-11-14T12:06:00Z</cp:lastPrinted>
  <dcterms:created xsi:type="dcterms:W3CDTF">2024-11-14T12:05:00Z</dcterms:created>
  <dcterms:modified xsi:type="dcterms:W3CDTF">2024-11-18T07:11:00Z</dcterms:modified>
</cp:coreProperties>
</file>