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35" w:rsidRDefault="00867A35" w:rsidP="00D57E2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867A35" w:rsidRDefault="00867A35" w:rsidP="00D57E2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867A35" w:rsidRDefault="00867A35" w:rsidP="00D57E2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867A35" w:rsidRDefault="00867A35" w:rsidP="00D57E2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1F73AB" wp14:editId="68A52755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A35" w:rsidRPr="004F6479" w:rsidRDefault="00867A35" w:rsidP="00867A35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867A35" w:rsidRPr="004F6479" w:rsidRDefault="00867A35" w:rsidP="00867A35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1F73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867A35" w:rsidRPr="004F6479" w:rsidRDefault="00867A35" w:rsidP="00867A35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867A35" w:rsidRPr="004F6479" w:rsidRDefault="00867A35" w:rsidP="00867A35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7A35" w:rsidRDefault="00867A35" w:rsidP="00D57E2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867A35" w:rsidRDefault="00867A35" w:rsidP="00D57E21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867A35" w:rsidRPr="00867A35" w:rsidRDefault="00867A35" w:rsidP="00D57E2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>ОСНОВНИ РЕЗУЛТАТИ ОТ НАБЛЮДЕНИЕТО НА РАБОТНАТА СИЛА</w:t>
      </w:r>
    </w:p>
    <w:p w:rsidR="00867A35" w:rsidRPr="00867A35" w:rsidRDefault="00867A35" w:rsidP="00D57E2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В ОБЛАСТ СЛИВЕН ПРЕЗ </w:t>
      </w:r>
      <w:r w:rsidR="005F7846">
        <w:rPr>
          <w:rFonts w:ascii="Verdana" w:eastAsia="Μοντέρνα" w:hAnsi="Verdana" w:cs="Times New Roman"/>
          <w:b/>
          <w:sz w:val="20"/>
          <w:szCs w:val="20"/>
          <w:lang w:eastAsia="bg-BG"/>
        </w:rPr>
        <w:t>2024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867A35" w:rsidRPr="00867A35" w:rsidRDefault="00867A35" w:rsidP="00D57E21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867A35" w:rsidRPr="00867A35" w:rsidRDefault="00867A35" w:rsidP="00D57E21">
      <w:pPr>
        <w:spacing w:line="360" w:lineRule="auto"/>
        <w:ind w:firstLine="709"/>
        <w:contextualSpacing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5F7846"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>икономически активните лица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на възраст от 15 до 64 навършени години 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>в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област Сливен са </w:t>
      </w:r>
      <w:r w:rsidRPr="00867A35">
        <w:rPr>
          <w:rFonts w:ascii="Verdana" w:eastAsia="Μοντέρνα" w:hAnsi="Verdana" w:cs="Times New Roman"/>
          <w:sz w:val="20"/>
          <w:szCs w:val="20"/>
          <w:lang w:val="en-US" w:eastAsia="bg-BG"/>
        </w:rPr>
        <w:t>69.</w:t>
      </w:r>
      <w:r w:rsidR="00D57E21">
        <w:rPr>
          <w:rFonts w:ascii="Verdana" w:eastAsia="Μοντέρνα" w:hAnsi="Verdana" w:cs="Times New Roman"/>
          <w:sz w:val="20"/>
          <w:szCs w:val="20"/>
          <w:lang w:eastAsia="bg-BG"/>
        </w:rPr>
        <w:t>3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души.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>Коефициентът на икономическа активност (15 - 64 навършени години)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</w:t>
      </w:r>
      <w:r w:rsidR="00D57E21">
        <w:rPr>
          <w:rFonts w:ascii="Verdana" w:eastAsia="Μοντέρνα" w:hAnsi="Verdana" w:cs="Times New Roman"/>
          <w:sz w:val="20"/>
          <w:szCs w:val="20"/>
          <w:lang w:eastAsia="bg-BG"/>
        </w:rPr>
        <w:t>69.9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се </w:t>
      </w:r>
      <w:r w:rsidR="00D57E21">
        <w:rPr>
          <w:rFonts w:ascii="Verdana" w:eastAsia="Μοντέρνα" w:hAnsi="Verdana" w:cs="Times New Roman"/>
          <w:sz w:val="20"/>
          <w:szCs w:val="20"/>
          <w:lang w:eastAsia="bg-BG"/>
        </w:rPr>
        <w:t>понижава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D57E21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867A35">
        <w:rPr>
          <w:rFonts w:ascii="Verdana" w:eastAsia="Μοντέρνα" w:hAnsi="Verdana" w:cs="Times New Roman"/>
          <w:sz w:val="20"/>
          <w:szCs w:val="20"/>
          <w:lang w:val="en-US" w:eastAsia="bg-BG"/>
        </w:rPr>
        <w:t>.</w:t>
      </w:r>
      <w:r w:rsidR="00D57E21">
        <w:rPr>
          <w:rFonts w:ascii="Verdana" w:eastAsia="Μοντέρνα" w:hAnsi="Verdana" w:cs="Times New Roman"/>
          <w:sz w:val="20"/>
          <w:szCs w:val="20"/>
          <w:lang w:eastAsia="bg-BG"/>
        </w:rPr>
        <w:t>1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 в сравнение с </w:t>
      </w:r>
      <w:r w:rsidR="005F7846">
        <w:rPr>
          <w:rFonts w:ascii="Verdana" w:eastAsia="Μοντέρνα" w:hAnsi="Verdana" w:cs="Times New Roman"/>
          <w:sz w:val="20"/>
          <w:szCs w:val="20"/>
          <w:lang w:eastAsia="bg-BG"/>
        </w:rPr>
        <w:t>2023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година.</w:t>
      </w:r>
    </w:p>
    <w:p w:rsidR="00867A35" w:rsidRPr="00867A35" w:rsidRDefault="00867A35" w:rsidP="00D57E21">
      <w:pPr>
        <w:spacing w:line="360" w:lineRule="auto"/>
        <w:ind w:firstLine="709"/>
        <w:contextualSpacing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>Заетите лица на възраст от 15 до 64 навършени години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област Сливен през </w:t>
      </w:r>
      <w:r w:rsidR="005F7846"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са 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65.0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души.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>Коефициентът на заетост за населението в същата възрастова група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65.6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>% (71.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>% за мъжете и 5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9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6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жените). В сравнение с </w:t>
      </w:r>
      <w:r w:rsidR="005F7846">
        <w:rPr>
          <w:rFonts w:ascii="Verdana" w:eastAsia="Μοντέρνα" w:hAnsi="Verdana" w:cs="Times New Roman"/>
          <w:sz w:val="20"/>
          <w:szCs w:val="20"/>
          <w:lang w:eastAsia="bg-BG"/>
        </w:rPr>
        <w:t>2023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коефициентът се увеличава с 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1.9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пункта.</w:t>
      </w:r>
    </w:p>
    <w:p w:rsidR="00867A35" w:rsidRPr="00867A35" w:rsidRDefault="00867A35" w:rsidP="00D57E21">
      <w:pPr>
        <w:spacing w:line="360" w:lineRule="auto"/>
        <w:ind w:firstLine="709"/>
        <w:contextualSpacing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Броят на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заетите лица на възраст от 15 до 64 навършени години 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висше образование е 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20.1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със средно - 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29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.3 хил. и с основно и по-ниско образование - 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15.6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хиляди.</w:t>
      </w:r>
    </w:p>
    <w:p w:rsidR="00867A35" w:rsidRPr="00867A35" w:rsidRDefault="00867A35" w:rsidP="00D57E21">
      <w:pPr>
        <w:spacing w:line="360" w:lineRule="auto"/>
        <w:ind w:firstLine="709"/>
        <w:contextualSpacing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>Коефициентът на заетост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на възраст от 15 до 64 навършени години 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лицата с висше образование е 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90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>.7%, за лицата със средно образование - 75.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за лицата с основно и по-ниско образование - 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40.9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>%.</w:t>
      </w:r>
    </w:p>
    <w:p w:rsidR="00867A35" w:rsidRPr="00867A35" w:rsidRDefault="00867A35" w:rsidP="00D57E21">
      <w:pPr>
        <w:spacing w:line="360" w:lineRule="auto"/>
        <w:contextualSpacing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Коефициент</w:t>
      </w:r>
      <w:r w:rsidR="00D57E21">
        <w:rPr>
          <w:rFonts w:ascii="Verdana" w:eastAsia="Μοντέρνα" w:hAnsi="Verdana" w:cs="Times New Roman"/>
          <w:b/>
          <w:sz w:val="20"/>
          <w:szCs w:val="20"/>
          <w:lang w:eastAsia="bg-BG"/>
        </w:rPr>
        <w:t>и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на заетост за възрастовата група 15 - 64 навършени години</w:t>
      </w:r>
      <w:r w:rsidR="00542C1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по степени на образование през </w:t>
      </w:r>
      <w:r w:rsidR="005F7846">
        <w:rPr>
          <w:rFonts w:ascii="Verdana" w:eastAsia="Μοντέρνα" w:hAnsi="Verdana" w:cs="Times New Roman"/>
          <w:b/>
          <w:sz w:val="20"/>
          <w:szCs w:val="20"/>
          <w:lang w:eastAsia="bg-BG"/>
        </w:rPr>
        <w:t>2023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и </w:t>
      </w:r>
      <w:r w:rsidR="005F7846">
        <w:rPr>
          <w:rFonts w:ascii="Verdana" w:eastAsia="Μοντέρνα" w:hAnsi="Verdana" w:cs="Times New Roman"/>
          <w:b/>
          <w:sz w:val="20"/>
          <w:szCs w:val="20"/>
          <w:lang w:eastAsia="bg-BG"/>
        </w:rPr>
        <w:t>2024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867A35" w:rsidRPr="00867A35" w:rsidRDefault="00D943CE" w:rsidP="00D57E21">
      <w:pPr>
        <w:spacing w:line="360" w:lineRule="auto"/>
        <w:contextualSpacing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62C6EA67" wp14:editId="2667F18C">
            <wp:extent cx="5168347" cy="2615979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7A35" w:rsidRPr="00867A35" w:rsidRDefault="00867A35" w:rsidP="00D57E21">
      <w:pPr>
        <w:spacing w:line="360" w:lineRule="auto"/>
        <w:contextualSpacing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67A35" w:rsidRPr="00867A35" w:rsidRDefault="00867A35" w:rsidP="00D57E21">
      <w:pPr>
        <w:spacing w:line="360" w:lineRule="auto"/>
        <w:ind w:firstLine="709"/>
        <w:contextualSpacing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 xml:space="preserve">Броят на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>безработните лица на възраст от 15 до 64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>навършени години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е 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.3 хил. души.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Коефициентът на безработица (15 - 64 навършени години) 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6.2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2.</w:t>
      </w:r>
      <w:r w:rsidR="000912DF">
        <w:rPr>
          <w:rFonts w:ascii="Verdana" w:eastAsia="Μοντέρνα" w:hAnsi="Verdana" w:cs="Times New Roman"/>
          <w:sz w:val="20"/>
          <w:szCs w:val="20"/>
          <w:lang w:val="en-US" w:eastAsia="bg-BG"/>
        </w:rPr>
        <w:t>8</w:t>
      </w:r>
      <w:bookmarkStart w:id="0" w:name="_GoBack"/>
      <w:bookmarkEnd w:id="0"/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 в сравнение с </w:t>
      </w:r>
      <w:r w:rsidR="005F7846">
        <w:rPr>
          <w:rFonts w:ascii="Verdana" w:eastAsia="Μοντέρνα" w:hAnsi="Verdana" w:cs="Times New Roman"/>
          <w:sz w:val="20"/>
          <w:szCs w:val="20"/>
          <w:lang w:eastAsia="bg-BG"/>
        </w:rPr>
        <w:t>2023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година.</w:t>
      </w:r>
    </w:p>
    <w:p w:rsidR="00867A35" w:rsidRPr="00867A35" w:rsidRDefault="00867A35" w:rsidP="00D57E21">
      <w:pPr>
        <w:spacing w:line="360" w:lineRule="auto"/>
        <w:ind w:firstLine="709"/>
        <w:contextualSpacing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5F7846"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икономически неактивните лица на възраст 15 - 64 навършени години </w:t>
      </w:r>
      <w:r w:rsidR="00E50326" w:rsidRPr="00E5032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са </w:t>
      </w:r>
      <w:r w:rsidRPr="00E50326">
        <w:rPr>
          <w:rFonts w:ascii="Verdana" w:eastAsia="Μοντέρνα" w:hAnsi="Verdana" w:cs="Times New Roman"/>
          <w:sz w:val="20"/>
          <w:szCs w:val="20"/>
          <w:lang w:eastAsia="bg-BG"/>
        </w:rPr>
        <w:t>29.</w:t>
      </w:r>
      <w:r w:rsidR="00E50326" w:rsidRPr="00E50326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E5032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от които 11.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мъже и 18.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жени.</w:t>
      </w:r>
    </w:p>
    <w:p w:rsidR="00867A35" w:rsidRPr="00867A35" w:rsidRDefault="00867A35" w:rsidP="00D57E21">
      <w:pPr>
        <w:spacing w:line="360" w:lineRule="auto"/>
        <w:ind w:firstLine="709"/>
        <w:contextualSpacing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5F7846"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общият брой на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>икономически активните лица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>на възраст 15 и повече навършени години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област Сливен са </w:t>
      </w:r>
      <w:r w:rsidR="00E50326">
        <w:rPr>
          <w:rFonts w:ascii="Verdana" w:eastAsia="Μοντέρνα" w:hAnsi="Verdana" w:cs="Times New Roman"/>
          <w:sz w:val="20"/>
          <w:szCs w:val="20"/>
          <w:lang w:eastAsia="bg-BG"/>
        </w:rPr>
        <w:t>71.6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души.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Коефициентът на икономическа активност за населението на 15 и повече навършени години 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е 52.2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и се 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понижава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0.4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 в сравнение с </w:t>
      </w:r>
      <w:r w:rsidR="005F7846">
        <w:rPr>
          <w:rFonts w:ascii="Verdana" w:eastAsia="Μοντέρνα" w:hAnsi="Verdana" w:cs="Times New Roman"/>
          <w:sz w:val="20"/>
          <w:szCs w:val="20"/>
          <w:lang w:eastAsia="bg-BG"/>
        </w:rPr>
        <w:t>2023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година.</w:t>
      </w:r>
    </w:p>
    <w:p w:rsidR="00867A35" w:rsidRPr="00867A35" w:rsidRDefault="00867A35" w:rsidP="00D57E21">
      <w:pPr>
        <w:spacing w:line="360" w:lineRule="auto"/>
        <w:ind w:firstLine="709"/>
        <w:contextualSpacing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Общият брой на заетите лица 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област Сливен е 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67.0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от които </w:t>
      </w:r>
      <w:r w:rsidRPr="00867A35">
        <w:rPr>
          <w:rFonts w:ascii="Verdana" w:eastAsia="Μοντέρνα" w:hAnsi="Verdana" w:cs="Times New Roman"/>
          <w:sz w:val="20"/>
          <w:szCs w:val="20"/>
          <w:lang w:val="en-US" w:eastAsia="bg-BG"/>
        </w:rPr>
        <w:t>37.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или 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55.5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са мъже и 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29.8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или 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44.5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%, са жени.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Коефициентът на заетост за населението 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 15 и повече навършени години е </w:t>
      </w:r>
      <w:r w:rsidRPr="00867A35"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8</w:t>
      </w:r>
      <w:r w:rsidRPr="00867A35">
        <w:rPr>
          <w:rFonts w:ascii="Verdana" w:eastAsia="Μοντέρνα" w:hAnsi="Verdana" w:cs="Times New Roman"/>
          <w:sz w:val="20"/>
          <w:szCs w:val="20"/>
          <w:lang w:val="en-US" w:eastAsia="bg-BG"/>
        </w:rPr>
        <w:t>.9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>% (</w:t>
      </w:r>
      <w:r w:rsidRPr="00867A35">
        <w:rPr>
          <w:rFonts w:ascii="Verdana" w:eastAsia="Μοντέρνα" w:hAnsi="Verdana" w:cs="Times New Roman"/>
          <w:sz w:val="20"/>
          <w:szCs w:val="20"/>
          <w:lang w:val="en-US" w:eastAsia="bg-BG"/>
        </w:rPr>
        <w:t>57.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0</w:t>
      </w:r>
      <w:r w:rsidRPr="00867A35">
        <w:rPr>
          <w:rFonts w:ascii="Verdana" w:eastAsia="Μοντέρνα" w:hAnsi="Verdana" w:cs="Times New Roman"/>
          <w:sz w:val="20"/>
          <w:szCs w:val="20"/>
          <w:lang w:val="en-US" w:eastAsia="bg-BG"/>
        </w:rPr>
        <w:t>%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за мъжете и 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41.5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за жените) и се увеличава с 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1.0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е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 пункт в сравнение с </w:t>
      </w:r>
      <w:r w:rsidR="005F7846">
        <w:rPr>
          <w:rFonts w:ascii="Verdana" w:eastAsia="Μοντέρνα" w:hAnsi="Verdana" w:cs="Times New Roman"/>
          <w:sz w:val="20"/>
          <w:szCs w:val="20"/>
          <w:lang w:eastAsia="bg-BG"/>
        </w:rPr>
        <w:t>2023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година.</w:t>
      </w:r>
    </w:p>
    <w:p w:rsidR="00867A35" w:rsidRPr="00867A35" w:rsidRDefault="00867A35" w:rsidP="00D57E21">
      <w:pPr>
        <w:spacing w:line="360" w:lineRule="auto"/>
        <w:ind w:firstLine="709"/>
        <w:contextualSpacing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5F7846"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безработните лица 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област Сливен са 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Pr="00867A35"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души.</w:t>
      </w:r>
    </w:p>
    <w:p w:rsidR="00867A35" w:rsidRPr="00867A35" w:rsidRDefault="00867A35" w:rsidP="00D57E21">
      <w:pPr>
        <w:spacing w:line="360" w:lineRule="auto"/>
        <w:ind w:firstLine="709"/>
        <w:contextualSpacing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Коефициентът на безработица 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е 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6.3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като в сравнение с </w:t>
      </w:r>
      <w:r w:rsidR="005F7846">
        <w:rPr>
          <w:rFonts w:ascii="Verdana" w:eastAsia="Μοντέρνα" w:hAnsi="Verdana" w:cs="Times New Roman"/>
          <w:sz w:val="20"/>
          <w:szCs w:val="20"/>
          <w:lang w:eastAsia="bg-BG"/>
        </w:rPr>
        <w:t>2023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се 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понижава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2.6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процентни пункта.</w:t>
      </w:r>
    </w:p>
    <w:p w:rsidR="00867A35" w:rsidRPr="00867A35" w:rsidRDefault="00867A35" w:rsidP="00D57E21">
      <w:pPr>
        <w:spacing w:line="360" w:lineRule="auto"/>
        <w:ind w:firstLine="709"/>
        <w:contextualSpacing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5F7846">
        <w:rPr>
          <w:rFonts w:ascii="Verdana" w:eastAsia="Μοντέρνα" w:hAnsi="Verdana" w:cs="Times New Roman"/>
          <w:sz w:val="20"/>
          <w:szCs w:val="20"/>
          <w:lang w:eastAsia="bg-BG"/>
        </w:rPr>
        <w:t>2024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икономически неактивните лица 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са </w:t>
      </w:r>
      <w:r w:rsidRPr="00867A35">
        <w:rPr>
          <w:rFonts w:ascii="Verdana" w:eastAsia="Μοντέρνα" w:hAnsi="Verdana" w:cs="Times New Roman"/>
          <w:sz w:val="20"/>
          <w:szCs w:val="20"/>
          <w:lang w:val="en-US" w:eastAsia="bg-BG"/>
        </w:rPr>
        <w:t>65.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5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хил., от които 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25.3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мъже и </w:t>
      </w:r>
      <w:r w:rsidRPr="00867A35">
        <w:rPr>
          <w:rFonts w:ascii="Verdana" w:eastAsia="Μοντέρνα" w:hAnsi="Verdana" w:cs="Times New Roman"/>
          <w:sz w:val="20"/>
          <w:szCs w:val="20"/>
          <w:lang w:val="en-US" w:eastAsia="bg-BG"/>
        </w:rPr>
        <w:t>40.</w:t>
      </w:r>
      <w:r w:rsidR="00710BAD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867A3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са жени.</w:t>
      </w:r>
    </w:p>
    <w:p w:rsidR="00867A35" w:rsidRPr="00867A35" w:rsidRDefault="00867A35" w:rsidP="00D57E21">
      <w:pPr>
        <w:spacing w:line="360" w:lineRule="auto"/>
        <w:ind w:firstLine="709"/>
        <w:contextualSpacing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542C12" w:rsidRDefault="00867A35" w:rsidP="00D57E21">
      <w:pPr>
        <w:spacing w:line="360" w:lineRule="auto"/>
        <w:contextualSpacing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2. Коефициенти</w:t>
      </w:r>
      <w:r w:rsidR="00542C12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на заетост по възрастови групи</w:t>
      </w:r>
    </w:p>
    <w:p w:rsidR="00867A35" w:rsidRPr="00867A35" w:rsidRDefault="00867A35" w:rsidP="00D57E21">
      <w:pPr>
        <w:spacing w:line="360" w:lineRule="auto"/>
        <w:contextualSpacing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 w:rsidR="005F7846">
        <w:rPr>
          <w:rFonts w:ascii="Verdana" w:eastAsia="Μοντέρνα" w:hAnsi="Verdana" w:cs="Times New Roman"/>
          <w:b/>
          <w:sz w:val="20"/>
          <w:szCs w:val="20"/>
          <w:lang w:eastAsia="bg-BG"/>
        </w:rPr>
        <w:t>2023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и </w:t>
      </w:r>
      <w:r w:rsidR="005F7846">
        <w:rPr>
          <w:rFonts w:ascii="Verdana" w:eastAsia="Μοντέρνα" w:hAnsi="Verdana" w:cs="Times New Roman"/>
          <w:b/>
          <w:sz w:val="20"/>
          <w:szCs w:val="20"/>
          <w:lang w:eastAsia="bg-BG"/>
        </w:rPr>
        <w:t>2024</w:t>
      </w:r>
      <w:r w:rsidRPr="00867A35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 година</w:t>
      </w:r>
    </w:p>
    <w:p w:rsidR="00867A35" w:rsidRPr="00867A35" w:rsidRDefault="00D943CE" w:rsidP="00D57E21">
      <w:pPr>
        <w:spacing w:line="360" w:lineRule="auto"/>
        <w:contextualSpacing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noProof/>
          <w:lang w:eastAsia="bg-BG"/>
        </w:rPr>
        <w:drawing>
          <wp:inline distT="0" distB="0" distL="0" distR="0" wp14:anchorId="58DEEDF9" wp14:editId="20126F51">
            <wp:extent cx="4895851" cy="3343274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7A35" w:rsidRPr="00D74A94" w:rsidRDefault="00867A35" w:rsidP="00D57E21">
      <w:pPr>
        <w:spacing w:after="200" w:line="360" w:lineRule="auto"/>
        <w:rPr>
          <w:rFonts w:eastAsia="Μοντέρνα" w:cs="Times New Roman"/>
          <w:lang w:eastAsia="bg-BG"/>
        </w:rPr>
      </w:pPr>
      <w:r w:rsidRPr="00D74A94">
        <w:rPr>
          <w:rFonts w:eastAsia="Μοντέρνα" w:cs="Times New Roman"/>
          <w:lang w:eastAsia="bg-BG"/>
        </w:rPr>
        <w:br w:type="page"/>
      </w:r>
    </w:p>
    <w:p w:rsidR="00867A35" w:rsidRPr="00866864" w:rsidRDefault="00867A35" w:rsidP="00D57E21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867A35" w:rsidRPr="00F202F2" w:rsidRDefault="00867A35" w:rsidP="00D57E21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</w:pPr>
      <w:r w:rsidRPr="00F202F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Методологични бележки</w:t>
      </w:r>
    </w:p>
    <w:p w:rsidR="00867A35" w:rsidRPr="00F202F2" w:rsidRDefault="00867A35" w:rsidP="00D57E2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542C12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Наблюдението на работната сила е извадково и се провежда непрекъснато, като осигурява тримесечни и годишни данни за икономическата активност на населението на 15 и повече навършени години. Изследването обхваща обикновените домакинства в страната. Домакинствата, участващи в наблюдението, са подбрани на случаен принцип и с</w:t>
      </w:r>
      <w:r w:rsidR="00542C1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е анкетират чрез лично интервю.</w:t>
      </w:r>
    </w:p>
    <w:p w:rsidR="00542C12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542C1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Наблюдаван период</w:t>
      </w: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- характеристиките на всяко анкетирано лице се отнасят за състоянието му през определена календарна седм</w:t>
      </w:r>
      <w:r w:rsidR="00542C1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ица (от понеделник до неделя).</w:t>
      </w:r>
    </w:p>
    <w:p w:rsidR="00542C12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542C1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Икономически активното население (работната сила)</w:t>
      </w: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включва в</w:t>
      </w:r>
      <w:r w:rsidR="00542C1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сички заети и безработни лица.</w:t>
      </w:r>
    </w:p>
    <w:p w:rsidR="00542C12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542C1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Заети</w:t>
      </w: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са лицата на възраст 15 - 89 навършени години, които през наблюдавания период:</w:t>
      </w:r>
    </w:p>
    <w:p w:rsidR="00542C12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- извършват работа дори за един час, за което получават работна заплата или друг доход;</w:t>
      </w:r>
    </w:p>
    <w:p w:rsidR="00542C12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- не работят, но имат работа, от която временно отсъстват поради годишен отпуск, болест, отпуск при раждане и отглеждане на малко дете до навършване на    2-годишна възраст, гъвкав график на работното време, участие в обучение, свързано с работата, както и поради друго отсъствие, ако продължителнос</w:t>
      </w:r>
      <w:r w:rsidR="00542C1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тта му е 3 месеца или по-малко.</w:t>
      </w:r>
    </w:p>
    <w:p w:rsidR="00542C12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542C12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Безработни</w:t>
      </w: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са лицата на възраст 15 - 74 навършени години, които:</w:t>
      </w:r>
    </w:p>
    <w:p w:rsidR="00542C12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- нямат рабо</w:t>
      </w:r>
      <w:r w:rsidR="00542C1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та през наблюдавания период;</w:t>
      </w:r>
    </w:p>
    <w:p w:rsidR="00542C12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- активно търсят работа през период от четири седмици, вкл. наблюдаваната, или вече са намерили работа, която очакват да започнат до три месеца сл</w:t>
      </w:r>
      <w:r w:rsidR="00542C1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ед края на наблюдавания период;</w:t>
      </w:r>
    </w:p>
    <w:p w:rsidR="00542C12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- имат възможност да започнат работа до две седмици сл</w:t>
      </w:r>
      <w:r w:rsidR="00542C1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ед края на наблюдавания период.</w:t>
      </w:r>
    </w:p>
    <w:p w:rsidR="00542C12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5218D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Икономически неактивни (лица извън работната сила)</w:t>
      </w: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са лицата на възраст 15 и повече навършени години, които не са нито заети, нито безработни през наблюдавания период, вкл. всички лица на възрас</w:t>
      </w:r>
      <w:r w:rsidR="00542C1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т 90 и повече навършени години.</w:t>
      </w:r>
    </w:p>
    <w:p w:rsidR="00867A35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5218D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 xml:space="preserve">Коефициент на икономическа активност </w:t>
      </w: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- относителен дял на икономически активното население (работната сила) от общото население (в съответната група). </w:t>
      </w:r>
    </w:p>
    <w:p w:rsidR="00542C12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5218D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Коефициент на заетост</w:t>
      </w: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- относителен дял на заетите лица от общото н</w:t>
      </w:r>
      <w:r w:rsidR="00542C1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аселение (в съответната група).</w:t>
      </w:r>
    </w:p>
    <w:p w:rsidR="00542C12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5218D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Коефициент на безработица</w:t>
      </w: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- относителният дял на безработните лица от ик</w:t>
      </w:r>
      <w:r w:rsidR="00542C1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ономически активното население.</w:t>
      </w:r>
    </w:p>
    <w:p w:rsidR="00542C12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F5218D">
        <w:rPr>
          <w:rFonts w:ascii="Verdana" w:eastAsia="Μοντέρνα" w:hAnsi="Verdana" w:cs="Times New Roman"/>
          <w:b/>
          <w:bCs/>
          <w:noProof/>
          <w:sz w:val="20"/>
          <w:szCs w:val="20"/>
          <w:lang w:eastAsia="bg-BG"/>
        </w:rPr>
        <w:t>Коефициент на продължителна безработица</w:t>
      </w: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 xml:space="preserve"> - относителният дял на продължително безработните лица от ик</w:t>
      </w:r>
      <w:r w:rsidR="00542C1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ономически активното население.</w:t>
      </w:r>
    </w:p>
    <w:p w:rsidR="00542C12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lastRenderedPageBreak/>
        <w:t>Годишните данни са осреднени стойности от четирите три</w:t>
      </w:r>
      <w:r w:rsidR="00542C1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месечия на съответната година.</w:t>
      </w:r>
    </w:p>
    <w:p w:rsidR="00542C12" w:rsidRDefault="00867A35" w:rsidP="00D57E21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</w:pPr>
      <w:r w:rsidRPr="00867A35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Поради направените закръгления в някои случаи общите данни могат да се различават незначително от сумата на отделните групи, включващи се в тя</w:t>
      </w:r>
      <w:r w:rsidR="00542C12">
        <w:rPr>
          <w:rFonts w:ascii="Verdana" w:eastAsia="Μοντέρνα" w:hAnsi="Verdana" w:cs="Times New Roman"/>
          <w:bCs/>
          <w:noProof/>
          <w:sz w:val="20"/>
          <w:szCs w:val="20"/>
          <w:lang w:eastAsia="bg-BG"/>
        </w:rPr>
        <w:t>х.</w:t>
      </w:r>
    </w:p>
    <w:p w:rsidR="00191BA3" w:rsidRPr="00C7280D" w:rsidRDefault="00191BA3" w:rsidP="00191BA3">
      <w:pPr>
        <w:tabs>
          <w:tab w:val="left" w:pos="1080"/>
        </w:tabs>
        <w:spacing w:before="120" w:line="360" w:lineRule="auto"/>
        <w:ind w:firstLine="720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C7280D">
        <w:rPr>
          <w:rFonts w:ascii="Verdana" w:eastAsia="Μοντέρνα" w:hAnsi="Verdana" w:cs="Times New Roman"/>
          <w:sz w:val="20"/>
          <w:szCs w:val="20"/>
          <w:lang w:eastAsia="bg-BG"/>
        </w:rPr>
        <w:t>По-подробни данни от Наблюдението на работната сила мога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 да се намерят на сайта на НСИ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C7280D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hyperlink r:id="rId10" w:history="1">
        <w:r w:rsidRPr="00C7280D">
          <w:rPr>
            <w:rFonts w:ascii="Verdana" w:eastAsia="Times New Roman" w:hAnsi="Verdana" w:cs="Times New Roman"/>
            <w:color w:val="000080"/>
            <w:sz w:val="20"/>
            <w:szCs w:val="20"/>
            <w:u w:val="single"/>
            <w:lang w:eastAsia="bg-BG"/>
          </w:rPr>
          <w:t>www.nsi.bg</w:t>
        </w:r>
      </w:hyperlink>
      <w:r w:rsidRPr="00C7280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раздел „Пазар на труда“, </w:t>
      </w:r>
      <w:hyperlink r:id="rId11" w:history="1">
        <w:r w:rsidRPr="00C7280D">
          <w:rPr>
            <w:rFonts w:ascii="Verdana" w:eastAsia="Μοντέρνα" w:hAnsi="Verdana" w:cs="Times New Roman"/>
            <w:color w:val="0000FF"/>
            <w:sz w:val="20"/>
            <w:szCs w:val="20"/>
            <w:u w:val="single"/>
            <w:lang w:eastAsia="bg-BG"/>
          </w:rPr>
          <w:t>Наблюдение на работната сила</w:t>
        </w:r>
      </w:hyperlink>
      <w:r w:rsidRPr="00C7280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и </w:t>
      </w:r>
      <w:r w:rsidRPr="00C7280D">
        <w:rPr>
          <w:rFonts w:ascii="Verdana" w:eastAsia="Calibri" w:hAnsi="Verdana" w:cs="Times New Roman"/>
          <w:sz w:val="20"/>
          <w:szCs w:val="20"/>
          <w:lang w:eastAsia="bg-BG"/>
        </w:rPr>
        <w:t xml:space="preserve">в </w:t>
      </w:r>
      <w:hyperlink r:id="rId12" w:history="1">
        <w:r w:rsidRPr="00C7280D">
          <w:rPr>
            <w:rFonts w:ascii="Verdana" w:eastAsia="Calibri" w:hAnsi="Verdana" w:cs="Times New Roman"/>
            <w:color w:val="0000FF"/>
            <w:sz w:val="20"/>
            <w:szCs w:val="20"/>
            <w:u w:val="single"/>
            <w:lang w:eastAsia="bg-BG"/>
          </w:rPr>
          <w:t>Информационната система ИНФОСТАТ</w:t>
        </w:r>
      </w:hyperlink>
      <w:r w:rsidRPr="00C7280D">
        <w:rPr>
          <w:rFonts w:ascii="Verdana" w:eastAsia="Calibri" w:hAnsi="Verdana" w:cs="Times New Roman"/>
          <w:sz w:val="20"/>
          <w:szCs w:val="20"/>
          <w:lang w:eastAsia="bg-BG"/>
        </w:rPr>
        <w:t>.</w:t>
      </w:r>
    </w:p>
    <w:p w:rsidR="00265ACF" w:rsidRDefault="00265ACF" w:rsidP="00191BA3">
      <w:pPr>
        <w:spacing w:line="360" w:lineRule="auto"/>
        <w:ind w:firstLine="567"/>
        <w:jc w:val="both"/>
      </w:pPr>
    </w:p>
    <w:sectPr w:rsidR="00265ACF" w:rsidSect="00CD141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935" w:rsidRDefault="00B40935" w:rsidP="00FB2F44">
      <w:r>
        <w:separator/>
      </w:r>
    </w:p>
  </w:endnote>
  <w:endnote w:type="continuationSeparator" w:id="0">
    <w:p w:rsidR="00B40935" w:rsidRDefault="00B40935" w:rsidP="00FB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1557D8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3EE7D90" wp14:editId="2F53E743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3BF159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0DBC909" wp14:editId="4ABC33F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176843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2342F5" wp14:editId="30CC86DF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1557D8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912D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2342F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1557D8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912D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="00FB2F44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1557D8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1557D8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2CF157" wp14:editId="0F3363C9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1557D8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912DF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2CF15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1557D8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0912DF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87CCF1" wp14:editId="11CE18DD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B05404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935" w:rsidRDefault="00B40935" w:rsidP="00FB2F44">
      <w:r>
        <w:separator/>
      </w:r>
    </w:p>
  </w:footnote>
  <w:footnote w:type="continuationSeparator" w:id="0">
    <w:p w:rsidR="00B40935" w:rsidRDefault="00B40935" w:rsidP="00FB2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1557D8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5E77812" wp14:editId="4BF65382">
              <wp:simplePos x="0" y="0"/>
              <wp:positionH relativeFrom="column">
                <wp:posOffset>-158420</wp:posOffset>
              </wp:positionH>
              <wp:positionV relativeFrom="paragraph">
                <wp:posOffset>-1029512</wp:posOffset>
              </wp:positionV>
              <wp:extent cx="6066790" cy="491159"/>
              <wp:effectExtent l="0" t="0" r="1016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6790" cy="491159"/>
                        <a:chOff x="0" y="-175564"/>
                        <a:chExt cx="6066790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3619" y="-175564"/>
                          <a:ext cx="5427879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8C7" w:rsidRPr="00F202F2" w:rsidRDefault="001557D8" w:rsidP="00C278C7">
                            <w:pPr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F202F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ОСНОВНИ РЕЗУЛТАТИ ОТ НАБЛЮДЕНИЕТО НА РАБОТНАТА СИЛА</w:t>
                            </w:r>
                          </w:p>
                          <w:p w:rsidR="00C278C7" w:rsidRPr="00F202F2" w:rsidRDefault="001557D8" w:rsidP="00C278C7">
                            <w:pPr>
                              <w:spacing w:line="360" w:lineRule="auto"/>
                              <w:jc w:val="center"/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F202F2">
                              <w:rPr>
                                <w:rFonts w:ascii="Verdana" w:eastAsia="Μοντέρνα" w:hAnsi="Verdana" w:cs="Times New Roman"/>
                                <w:b/>
                                <w:sz w:val="20"/>
                                <w:szCs w:val="20"/>
                                <w:lang w:eastAsia="bg-BG"/>
                              </w:rPr>
                              <w:t>В ОБЛАСТ СЛИВЕН ПРЕЗ 2024 ГОДИНА</w:t>
                            </w:r>
                          </w:p>
                          <w:p w:rsidR="00054328" w:rsidRPr="00101DE0" w:rsidRDefault="00B40935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E77812" id="Group 7" o:spid="_x0000_s1027" style="position:absolute;margin-left:-12.45pt;margin-top:-81.05pt;width:477.7pt;height:38.65pt;z-index:251661312;mso-height-relative:margin" coordorigin=",-1755" coordsize="6066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6;top:-1755;width:54278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C278C7" w:rsidRPr="00F202F2" w:rsidRDefault="001557D8" w:rsidP="00C278C7">
                      <w:pPr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F202F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ОСНОВНИ РЕЗУЛТАТИ ОТ НАБЛЮДЕНИЕТО НА РАБОТНАТА СИЛА</w:t>
                      </w:r>
                    </w:p>
                    <w:p w:rsidR="00C278C7" w:rsidRPr="00F202F2" w:rsidRDefault="001557D8" w:rsidP="00C278C7">
                      <w:pPr>
                        <w:spacing w:line="360" w:lineRule="auto"/>
                        <w:jc w:val="center"/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</w:pPr>
                      <w:r w:rsidRPr="00F202F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 xml:space="preserve">В ОБЛАСТ СЛИВЕН ПРЕЗ </w:t>
                      </w:r>
                      <w:r w:rsidRPr="00F202F2">
                        <w:rPr>
                          <w:rFonts w:ascii="Verdana" w:eastAsia="Μοντέρνα" w:hAnsi="Verdana" w:cs="Times New Roman"/>
                          <w:b/>
                          <w:sz w:val="20"/>
                          <w:szCs w:val="20"/>
                          <w:lang w:eastAsia="bg-BG"/>
                        </w:rPr>
                        <w:t>2024 ГОДИНА</w:t>
                      </w:r>
                    </w:p>
                    <w:p w:rsidR="00054328" w:rsidRPr="00101DE0" w:rsidRDefault="001557D8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1557D8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315EF8FF" wp14:editId="23831C44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01712" wp14:editId="6AE1FA7C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1557D8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1557D8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E0171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1557D8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1557D8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534514" wp14:editId="678E0EF8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29430E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4FE11FED" wp14:editId="0A92AD27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380973C8" wp14:editId="5DAB857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57355A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E764E"/>
    <w:multiLevelType w:val="hybridMultilevel"/>
    <w:tmpl w:val="9BD491C4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35"/>
    <w:rsid w:val="000912DF"/>
    <w:rsid w:val="001557D8"/>
    <w:rsid w:val="00191BA3"/>
    <w:rsid w:val="0025434B"/>
    <w:rsid w:val="00265ACF"/>
    <w:rsid w:val="002B56D5"/>
    <w:rsid w:val="00542C12"/>
    <w:rsid w:val="005F7846"/>
    <w:rsid w:val="00710BAD"/>
    <w:rsid w:val="00833CF2"/>
    <w:rsid w:val="00867A35"/>
    <w:rsid w:val="00B40935"/>
    <w:rsid w:val="00B40BF8"/>
    <w:rsid w:val="00B8453C"/>
    <w:rsid w:val="00C56083"/>
    <w:rsid w:val="00D57E21"/>
    <w:rsid w:val="00D943CE"/>
    <w:rsid w:val="00E50326"/>
    <w:rsid w:val="00F5218D"/>
    <w:rsid w:val="00FB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F3A960"/>
  <w15:chartTrackingRefBased/>
  <w15:docId w15:val="{E540AC7F-65FD-48EA-8D35-A1845557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A3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A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A3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7A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A35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67A35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67A3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67A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stat.nsi.bg/infostat/pages/module.jsf?x_2=9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i.bg/bg/content/4002/%D0%B3%D0%BE%D0%B4%D0%B8%D1%88%D0%BD%D0%B8-%D0%B4%D0%B0%D0%BD%D0%BD%D0%B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nsi.bg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EDII\Rabotna_sila\Rab_sila_2025\RS_pom_tabl_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EDII\Rabotna_sila\Rab_sila_2025\RS_pom_tabl_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237016401830631E-2"/>
          <c:y val="8.8145896656534953E-2"/>
          <c:w val="0.90332376322995744"/>
          <c:h val="0.715918898709256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 1 2024'!$A$4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 1 2024'!$B$3:$E$3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'граф 1 2024'!$B$4:$E$4</c:f>
              <c:numCache>
                <c:formatCode>0.0</c:formatCode>
                <c:ptCount val="4"/>
                <c:pt idx="0">
                  <c:v>63.7</c:v>
                </c:pt>
                <c:pt idx="1">
                  <c:v>84.7</c:v>
                </c:pt>
                <c:pt idx="2">
                  <c:v>75</c:v>
                </c:pt>
                <c:pt idx="3">
                  <c:v>41.3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81F-4CC9-9B85-3EB3EEAACD71}"/>
            </c:ext>
          </c:extLst>
        </c:ser>
        <c:ser>
          <c:idx val="1"/>
          <c:order val="1"/>
          <c:tx>
            <c:strRef>
              <c:f>'граф 1 2024'!$A$5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'граф 1 2024'!$B$3:$E$3</c:f>
              <c:strCache>
                <c:ptCount val="4"/>
                <c:pt idx="0">
                  <c:v>Общо</c:v>
                </c:pt>
                <c:pt idx="1">
                  <c:v>Висше</c:v>
                </c:pt>
                <c:pt idx="2">
                  <c:v>Средно</c:v>
                </c:pt>
                <c:pt idx="3">
                  <c:v>Основно и по-ниско</c:v>
                </c:pt>
              </c:strCache>
            </c:strRef>
          </c:cat>
          <c:val>
            <c:numRef>
              <c:f>'граф 1 2024'!$B$5:$E$5</c:f>
              <c:numCache>
                <c:formatCode>0.0</c:formatCode>
                <c:ptCount val="4"/>
                <c:pt idx="0">
                  <c:v>65.599999999999994</c:v>
                </c:pt>
                <c:pt idx="1">
                  <c:v>90.7</c:v>
                </c:pt>
                <c:pt idx="2">
                  <c:v>75.400000000000006</c:v>
                </c:pt>
                <c:pt idx="3">
                  <c:v>40.9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81F-4CC9-9B85-3EB3EEAACD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4296616"/>
        <c:axId val="1"/>
      </c:barChart>
      <c:catAx>
        <c:axId val="404296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6.3363559699441893E-2"/>
              <c:y val="1.5197716989138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Times New Roman" panose="02020603050405020304" pitchFamily="18" charset="0"/>
                </a:defRPr>
              </a:pPr>
              <a:endParaRPr lang="bg-BG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404296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solidFill>
            <a:schemeClr val="bg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454545454545456E-2"/>
          <c:y val="8.8145896656534953E-2"/>
          <c:w val="0.89483711376428454"/>
          <c:h val="0.704806426275561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'граф 2 2024'!$A$4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 2 2024'!$B$3:$G$3</c:f>
              <c:strCache>
                <c:ptCount val="6"/>
                <c:pt idx="0">
                  <c:v>15 г. и повече</c:v>
                </c:pt>
                <c:pt idx="1">
                  <c:v>15 - 64 г.</c:v>
                </c:pt>
                <c:pt idx="2">
                  <c:v>25 - 34</c:v>
                </c:pt>
                <c:pt idx="3">
                  <c:v>35 - 44</c:v>
                </c:pt>
                <c:pt idx="4">
                  <c:v>45 - 54</c:v>
                </c:pt>
                <c:pt idx="5">
                  <c:v>55 - 64</c:v>
                </c:pt>
              </c:strCache>
            </c:strRef>
          </c:cat>
          <c:val>
            <c:numRef>
              <c:f>'граф 2 2024'!$B$4:$G$4</c:f>
              <c:numCache>
                <c:formatCode>0.0</c:formatCode>
                <c:ptCount val="6"/>
                <c:pt idx="0">
                  <c:v>47.9</c:v>
                </c:pt>
                <c:pt idx="1">
                  <c:v>63.7</c:v>
                </c:pt>
                <c:pt idx="2">
                  <c:v>64.7</c:v>
                </c:pt>
                <c:pt idx="3">
                  <c:v>78</c:v>
                </c:pt>
                <c:pt idx="4" formatCode="General">
                  <c:v>76.8</c:v>
                </c:pt>
                <c:pt idx="5" formatCode="General">
                  <c:v>65.900000000000006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C-4150-8D68-957951FA4F5D}"/>
            </c:ext>
          </c:extLst>
        </c:ser>
        <c:ser>
          <c:idx val="1"/>
          <c:order val="1"/>
          <c:tx>
            <c:strRef>
              <c:f>'граф 2 2024'!$A$5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accent6">
                  <a:lumMod val="75000"/>
                </a:schemeClr>
              </a:solidFill>
            </a:ln>
            <a:effectLst/>
          </c:spPr>
          <c:invertIfNegative val="0"/>
          <c:dLbls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'граф 2 2024'!$B$3:$G$3</c:f>
              <c:strCache>
                <c:ptCount val="6"/>
                <c:pt idx="0">
                  <c:v>15 г. и повече</c:v>
                </c:pt>
                <c:pt idx="1">
                  <c:v>15 - 64 г.</c:v>
                </c:pt>
                <c:pt idx="2">
                  <c:v>25 - 34</c:v>
                </c:pt>
                <c:pt idx="3">
                  <c:v>35 - 44</c:v>
                </c:pt>
                <c:pt idx="4">
                  <c:v>45 - 54</c:v>
                </c:pt>
                <c:pt idx="5">
                  <c:v>55 - 64</c:v>
                </c:pt>
              </c:strCache>
            </c:strRef>
          </c:cat>
          <c:val>
            <c:numRef>
              <c:f>'граф 2 2024'!$B$5:$G$5</c:f>
              <c:numCache>
                <c:formatCode>0.0</c:formatCode>
                <c:ptCount val="6"/>
                <c:pt idx="0">
                  <c:v>48.9</c:v>
                </c:pt>
                <c:pt idx="1">
                  <c:v>65.599999999999994</c:v>
                </c:pt>
                <c:pt idx="2">
                  <c:v>71.900000000000006</c:v>
                </c:pt>
                <c:pt idx="3">
                  <c:v>82.8</c:v>
                </c:pt>
                <c:pt idx="4" formatCode="General">
                  <c:v>75.2</c:v>
                </c:pt>
                <c:pt idx="5" formatCode="General">
                  <c:v>67.8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2C-4150-8D68-957951FA4F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404296616"/>
        <c:axId val="1"/>
      </c:barChart>
      <c:catAx>
        <c:axId val="404296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 panose="02020603050405020304" pitchFamily="18" charset="0"/>
                  </a:defRPr>
                </a:pPr>
                <a:r>
                  <a:rPr lang="en-US"/>
                  <a:t>%</a:t>
                </a:r>
              </a:p>
            </c:rich>
          </c:tx>
          <c:layout>
            <c:manualLayout>
              <c:xMode val="edge"/>
              <c:yMode val="edge"/>
              <c:x val="6.1149420621273744E-2"/>
              <c:y val="1.519767748620065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8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Verdana" panose="020B0604030504040204" pitchFamily="34" charset="0"/>
                  <a:ea typeface="Verdana" panose="020B0604030504040204" pitchFamily="34" charset="0"/>
                  <a:cs typeface="Times New Roman" panose="02020603050405020304" pitchFamily="18" charset="0"/>
                </a:defRPr>
              </a:pPr>
              <a:endParaRPr lang="bg-BG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 panose="02020603050405020304" pitchFamily="18" charset="0"/>
              </a:defRPr>
            </a:pPr>
            <a:endParaRPr lang="bg-BG"/>
          </a:p>
        </c:txPr>
        <c:crossAx val="404296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solidFill>
            <a:schemeClr val="bg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  <a:cs typeface="Times New Roman" panose="02020603050405020304" pitchFamily="18" charset="0"/>
        </a:defRPr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8E3E4-CE08-43CE-88CF-5C7270BB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8</cp:revision>
  <dcterms:created xsi:type="dcterms:W3CDTF">2025-03-17T12:51:00Z</dcterms:created>
  <dcterms:modified xsi:type="dcterms:W3CDTF">2025-03-19T08:13:00Z</dcterms:modified>
</cp:coreProperties>
</file>