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D5AF4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7A021" wp14:editId="72A6D559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F4" w:rsidRPr="004F6479" w:rsidRDefault="001D5AF4" w:rsidP="001D5AF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1D5AF4" w:rsidRPr="004F6479" w:rsidRDefault="001D5AF4" w:rsidP="001D5AF4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7A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1D5AF4" w:rsidRPr="004F6479" w:rsidRDefault="001D5AF4" w:rsidP="001D5AF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1D5AF4" w:rsidRPr="004F6479" w:rsidRDefault="001D5AF4" w:rsidP="001D5AF4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1D5AF4" w:rsidRPr="001D5AF4" w:rsidRDefault="001D5AF4" w:rsidP="001D5AF4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1D5AF4" w:rsidRPr="00CE65E7" w:rsidRDefault="001D5AF4" w:rsidP="001D5AF4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НАБЛЮДЕНИЕТО НА ДОМАКИНСКИТЕ БЮДЖЕТИ</w:t>
      </w:r>
      <w:r w:rsidR="00DF507C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DF507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СТАРТИРА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В НОВИ ДОМАКИНСТВА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jc w:val="both"/>
        <w:rPr>
          <w:rFonts w:ascii="Verdana" w:eastAsia="Μοντέρνα" w:hAnsi="Verdana" w:cs="Times New Roman"/>
          <w:bCs/>
          <w:color w:val="343434"/>
          <w:sz w:val="20"/>
          <w:szCs w:val="20"/>
          <w:lang w:eastAsia="bg-BG"/>
        </w:rPr>
      </w:pP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началото на април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Националният статистически институт 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(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НСИ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)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чрез териториалните статистически бюра 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(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ТСБ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)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страната, започва провеждането на Наблюдението на домакинските бюджети в новоизбрани домакинства.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Изследването е ежегодно и е включено в Националната статистическа програма за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 В него ще вземат участие 90 домакинства от област Сливен, избрани на случаен принцип, които са разделени в три подизвадки от по 30 домакинства. В периода април - юни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домакинствата от всяка подизвадка се включват последователно в Наблюдението на домакинските бюджети. Всяко домакинство участва в изследването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пъти в рамките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девет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месеца на ротационен принцип.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 време на своето участие домакинствата попълват дневници за получените доходи и направените разходи през текущия месец, както и информация за нерегулярните доходи и направените разходи за предходните два месеца, когато не са участвали пряко в изследването.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област Сливен изследването ще се проведе в градовете: Котел, Сливен, Нова Загора и Шивачево, както и в селата: Кортен, Любенова махала, Бинкос, Глуфишево и Крушаре.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Анкетьорите, които ще посетят домакинствата, са задължени, съгласно Закона за статистиката, да пазят в пълна тайна получената от тях информация. Същите ще се легитимират със служебна карта, издадена от ТСБ - Югоизток, отдел „Статистически изследвания - Сливен“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 при първото си посещение в домакинствата ще представят писмо от председателя на НСИ. Предоставените от домакинствата лични данни ще бъдат събирани, обработвани и съхранявани само и единствено за производството на статистическа информация.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Опазването на тайната на данните, тяхната защита и използването им изключително за статистически цели е гарантирано от разпоредбите на Общия регламент за защита на личните данни, Регламент (ЕО) 223/2009 относно европейската статистика, Закона за статистиката и Закона за защита на личните данни.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>Наблюдението на домакинските бюджети е основен източник за получаване на обобщена информация за доходите, разходите и потреблението на населението в страната, която е необходима за разработване на различни политики и мерки в социалната сфера. Подобни изследвания се провеждат във всички страни от Европейския съюз и в редица страни по света и представляват неделима част от дейността на статистическите институции.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Допълнителна информация относно провежданото изследване на територията на област Сливен може да се получи на телефон 044/613 414 в Териториално статистическо бюро - Югоизток, отдел „Статистически изследвания </w:t>
      </w:r>
      <w:r w:rsidRPr="001D5AF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-</w:t>
      </w:r>
      <w:r w:rsidRPr="001D5AF4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Сливен“.</w:t>
      </w: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1D5AF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Предварително благодарим на домакинствата за сътрудничеството!</w:t>
      </w:r>
    </w:p>
    <w:p w:rsidR="001D5AF4" w:rsidRPr="001D5AF4" w:rsidRDefault="001D5AF4" w:rsidP="001D5AF4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1D5AF4" w:rsidRPr="001D5AF4" w:rsidRDefault="001D5AF4" w:rsidP="001D5A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1D5AF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Повече информация за методологията на наблюдението, както и резултати от предходни изследвания, могат да се намерят в сайта на НСИ, рубриката „Доходи, разходи и потребление на домакинствата“: </w:t>
      </w:r>
      <w:hyperlink r:id="rId6" w:history="1">
        <w:r w:rsidRPr="001D5AF4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http://www.nsi.bg/bg/node/3168</w:t>
        </w:r>
      </w:hyperlink>
      <w:r w:rsidRPr="001D5AF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1D5AF4">
        <w:rPr>
          <w:rFonts w:ascii="Verdana" w:eastAsia="Μοντέρνα" w:hAnsi="Verdana" w:cs="Times New Roman"/>
          <w:sz w:val="20"/>
          <w:szCs w:val="20"/>
          <w:lang w:eastAsia="bg-BG"/>
        </w:rPr>
        <w:t>и в</w:t>
      </w:r>
      <w:r w:rsidRPr="001D5AF4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 xml:space="preserve"> </w:t>
      </w:r>
      <w:r w:rsidRPr="001D5AF4">
        <w:rPr>
          <w:rFonts w:ascii="Verdana" w:eastAsia="Calibri" w:hAnsi="Verdana" w:cs="Times New Roman"/>
          <w:color w:val="000000"/>
          <w:sz w:val="20"/>
          <w:szCs w:val="20"/>
        </w:rPr>
        <w:t>Информационната система „Инфостат“.</w:t>
      </w:r>
      <w:r w:rsidRPr="001D5AF4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sectPr w:rsidR="001D5AF4" w:rsidRPr="001D5AF4" w:rsidSect="00CD14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91" w:rsidRDefault="00B67691" w:rsidP="00E8300F">
      <w:r>
        <w:separator/>
      </w:r>
    </w:p>
  </w:endnote>
  <w:endnote w:type="continuationSeparator" w:id="0">
    <w:p w:rsidR="00B67691" w:rsidRDefault="00B67691" w:rsidP="00E8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F83E14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3FD45E8" wp14:editId="566FC27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EC702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883A8A5" wp14:editId="0DE986E1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6410D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81D69" wp14:editId="2DBD1D69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F83E14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65E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E81D6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F83E14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E65E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E8300F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F83E14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F83E14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A97941" wp14:editId="7D9D6D77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F83E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E65E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A9794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F83E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E65E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7D754B" wp14:editId="37096E47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0E394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91" w:rsidRDefault="00B67691" w:rsidP="00E8300F">
      <w:r>
        <w:separator/>
      </w:r>
    </w:p>
  </w:footnote>
  <w:footnote w:type="continuationSeparator" w:id="0">
    <w:p w:rsidR="00B67691" w:rsidRDefault="00B67691" w:rsidP="00E8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F83E14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3E0C88" wp14:editId="12737FDF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00F" w:rsidRPr="001D5AF4" w:rsidRDefault="00E8300F" w:rsidP="00E8300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</w:pPr>
                          </w:p>
                          <w:p w:rsidR="00054328" w:rsidRPr="00101DE0" w:rsidRDefault="00B67691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3E0C88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E8300F" w:rsidRPr="001D5AF4" w:rsidRDefault="00E8300F" w:rsidP="00E8300F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</w:pPr>
                    </w:p>
                    <w:p w:rsidR="00054328" w:rsidRPr="00101DE0" w:rsidRDefault="00B67691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F83E14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4B1E1DEF" wp14:editId="5D6F3D07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852244" wp14:editId="018053B0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F83E14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F83E14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5224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F83E14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F83E14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173744" wp14:editId="1CB00B9D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5639D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8BA5832" wp14:editId="0FD6434E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9E0CDF5" wp14:editId="3049FE3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A47B9A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F4"/>
    <w:rsid w:val="00124464"/>
    <w:rsid w:val="001D5AF4"/>
    <w:rsid w:val="00265ACF"/>
    <w:rsid w:val="007A02BE"/>
    <w:rsid w:val="00B40BF8"/>
    <w:rsid w:val="00B67691"/>
    <w:rsid w:val="00C0330E"/>
    <w:rsid w:val="00C56083"/>
    <w:rsid w:val="00CE65E7"/>
    <w:rsid w:val="00DF507C"/>
    <w:rsid w:val="00E8300F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1F3B95B-1415-4ABB-86B2-A47C34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F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A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F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A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F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D5AF4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D5AF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i.bg/bg/node/316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4</cp:revision>
  <cp:lastPrinted>2025-03-21T13:48:00Z</cp:lastPrinted>
  <dcterms:created xsi:type="dcterms:W3CDTF">2025-03-24T07:12:00Z</dcterms:created>
  <dcterms:modified xsi:type="dcterms:W3CDTF">2025-03-25T07:01:00Z</dcterms:modified>
</cp:coreProperties>
</file>