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B6" w:rsidRPr="00077E55" w:rsidRDefault="008369B6" w:rsidP="008369B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8369B6" w:rsidRPr="005E2796" w:rsidRDefault="008369B6" w:rsidP="008369B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369B6" w:rsidRPr="005E2796" w:rsidRDefault="008369B6" w:rsidP="008369B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369B6" w:rsidRPr="005E2796" w:rsidRDefault="008369B6" w:rsidP="008369B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5E2796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31214" wp14:editId="11493C25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9B6" w:rsidRPr="004F6479" w:rsidRDefault="008369B6" w:rsidP="008369B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8369B6" w:rsidRPr="004F6479" w:rsidRDefault="008369B6" w:rsidP="008369B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31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8369B6" w:rsidRPr="004F6479" w:rsidRDefault="008369B6" w:rsidP="008369B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8369B6" w:rsidRPr="004F6479" w:rsidRDefault="008369B6" w:rsidP="008369B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9B6" w:rsidRPr="005E2796" w:rsidRDefault="008369B6" w:rsidP="008369B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369B6" w:rsidRDefault="008369B6" w:rsidP="008369B6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</w:p>
    <w:p w:rsidR="008369B6" w:rsidRPr="00F44131" w:rsidRDefault="008369B6" w:rsidP="008369B6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ЛЕЧЕБНИ ЗАВЕДЕНИЯ ЗА БОЛНИЧНА И ИЗВЪНБОЛНИЧНА ПОМОЩ И ЗДРАВНИ ЗАВЕДЕНИЯ В ОБЛАСТ СЛИВЕН КЪМ 31.12.202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4</w:t>
      </w:r>
      <w:r w:rsidRPr="00F44131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ГОДИНА</w:t>
      </w:r>
    </w:p>
    <w:p w:rsidR="008369B6" w:rsidRPr="00F44131" w:rsidRDefault="008369B6" w:rsidP="008369B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Към 31.12.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в област Сливен функционират 6 заведения за болнична помощ с 10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11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легла, като всички са болници (табл. 1).</w:t>
      </w:r>
    </w:p>
    <w:p w:rsidR="008369B6" w:rsidRPr="00F44131" w:rsidRDefault="008369B6" w:rsidP="008369B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Заведенията за извънболнична помощ са 48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6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легла, а другите лечебни и здравни заведения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 са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с 28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легла в тях.</w:t>
      </w:r>
    </w:p>
    <w:p w:rsidR="008369B6" w:rsidRPr="00F44131" w:rsidRDefault="008369B6" w:rsidP="008369B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Заведенията за болнична помощ включват болници, центрове за кожно-венерически заболявания, центрове за психично здраве и комплексни онкологични центрове. Съгласно Закона за лечебните заведения болниците са многопрофилни и специализирани.</w:t>
      </w:r>
    </w:p>
    <w:p w:rsidR="00713B51" w:rsidRDefault="008369B6" w:rsidP="00713B51">
      <w:pPr>
        <w:keepNext/>
        <w:widowControl w:val="0"/>
        <w:tabs>
          <w:tab w:val="left" w:pos="284"/>
        </w:tabs>
        <w:spacing w:before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8369B6">
        <w:rPr>
          <w:rFonts w:ascii="Verdana" w:eastAsia="Times New Roman" w:hAnsi="Verdana" w:cs="Times New Roman"/>
          <w:b/>
          <w:sz w:val="20"/>
          <w:szCs w:val="20"/>
        </w:rPr>
        <w:t xml:space="preserve">Таблица 1. Лечебни и здравни заведения в област </w:t>
      </w:r>
      <w:r>
        <w:rPr>
          <w:rFonts w:ascii="Verdana" w:eastAsia="Times New Roman" w:hAnsi="Verdana" w:cs="Times New Roman"/>
          <w:b/>
          <w:sz w:val="20"/>
          <w:szCs w:val="20"/>
        </w:rPr>
        <w:t>Сливен</w:t>
      </w:r>
    </w:p>
    <w:p w:rsidR="008369B6" w:rsidRPr="008369B6" w:rsidRDefault="008369B6" w:rsidP="00713B51">
      <w:pPr>
        <w:keepNext/>
        <w:widowControl w:val="0"/>
        <w:tabs>
          <w:tab w:val="left" w:pos="284"/>
        </w:tabs>
        <w:spacing w:after="160" w:line="36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8369B6">
        <w:rPr>
          <w:rFonts w:ascii="Verdana" w:eastAsia="Times New Roman" w:hAnsi="Verdana" w:cs="Times New Roman"/>
          <w:b/>
          <w:sz w:val="20"/>
          <w:szCs w:val="20"/>
        </w:rPr>
        <w:t>към 31.12.2024 година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1297"/>
        <w:gridCol w:w="820"/>
      </w:tblGrid>
      <w:tr w:rsidR="008369B6" w:rsidRPr="008369B6" w:rsidTr="008369B6">
        <w:trPr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ab/>
            </w: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(Брой)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9B6" w:rsidRPr="008369B6" w:rsidRDefault="008369B6" w:rsidP="008369B6">
            <w:pPr>
              <w:widowControl w:val="0"/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Заведения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Легла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Лечебни заведения за болнична помощ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1011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17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Болници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1011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34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Многопрофилни болници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847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34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Специализирани болници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164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Лечебни заведения за извънболнична помощ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6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17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Диагностично-консултативни центрове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17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Медицински центрове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17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Дентални центрове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ind w:left="17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Самостоятелни медико-диагностични и медико-технически лаборатории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369B6" w:rsidRPr="008369B6" w:rsidTr="00E601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8369B6" w:rsidP="008369B6">
            <w:pPr>
              <w:widowControl w:val="0"/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69B6">
              <w:rPr>
                <w:rFonts w:ascii="Verdana" w:eastAsia="Times New Roman" w:hAnsi="Verdana" w:cs="Times New Roman"/>
                <w:b/>
                <w:sz w:val="16"/>
                <w:szCs w:val="16"/>
              </w:rPr>
              <w:t>Други лечебни и здравни заведения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9B6" w:rsidRPr="008369B6" w:rsidRDefault="00651C8C" w:rsidP="008369B6">
            <w:pPr>
              <w:widowControl w:val="0"/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28</w:t>
            </w:r>
          </w:p>
        </w:tc>
      </w:tr>
    </w:tbl>
    <w:p w:rsidR="008369B6" w:rsidRDefault="008369B6" w:rsidP="00651C8C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Многопрофилните болници са 3 с 8</w:t>
      </w:r>
      <w:r w:rsidR="00651C8C">
        <w:rPr>
          <w:rFonts w:ascii="Verdana" w:eastAsia="Μοντέρνα" w:hAnsi="Verdana" w:cs="Times New Roman"/>
          <w:bCs/>
          <w:sz w:val="20"/>
          <w:szCs w:val="20"/>
          <w:lang w:eastAsia="bg-BG"/>
        </w:rPr>
        <w:t>47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легла и в тях е съсредоточен 8</w:t>
      </w:r>
      <w:r w:rsidR="00651C8C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="00651C8C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от легловия фонд на всички заведения за бол</w:t>
      </w:r>
      <w:r w:rsidR="00651C8C">
        <w:rPr>
          <w:rFonts w:ascii="Verdana" w:eastAsia="Μοντέρνα" w:hAnsi="Verdana" w:cs="Times New Roman"/>
          <w:bCs/>
          <w:sz w:val="20"/>
          <w:szCs w:val="20"/>
          <w:lang w:eastAsia="bg-BG"/>
        </w:rPr>
        <w:t>нична помощ в областта (фиг.1).</w:t>
      </w:r>
    </w:p>
    <w:p w:rsidR="00651C8C" w:rsidRPr="00F44131" w:rsidRDefault="00651C8C" w:rsidP="00651C8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Към 31.12.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 w:rsidRPr="00F44131">
        <w:rPr>
          <w:rFonts w:ascii="Verdana" w:eastAsia="Μοντέρνα" w:hAnsi="Verdana" w:cs="Times New Roman"/>
          <w:bCs/>
          <w:sz w:val="20"/>
          <w:szCs w:val="20"/>
          <w:lang w:eastAsia="bg-BG"/>
        </w:rPr>
        <w:t>заведенията за извънболнична помощ</w:t>
      </w:r>
      <w:r w:rsidRPr="00F44131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са 48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за краткосрочно наблюдение и престой. </w:t>
      </w:r>
    </w:p>
    <w:p w:rsidR="00651C8C" w:rsidRPr="00F44131" w:rsidRDefault="00651C8C" w:rsidP="00651C8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Сред извънболничните заведения с дейности по клинична медицина най-голям е броят на медицинските центрове - 12 заведения, следват диагностично-консултативните центрове – 3 и 1 дентален център.</w:t>
      </w:r>
    </w:p>
    <w:p w:rsidR="00651C8C" w:rsidRPr="00F44131" w:rsidRDefault="00651C8C" w:rsidP="00651C8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В края на годината в областта функционират 32 самостоятелни медико-диагностични и медико-технически лаборатории.</w:t>
      </w:r>
    </w:p>
    <w:p w:rsidR="008250CA" w:rsidRDefault="008250CA" w:rsidP="00713B51">
      <w:pPr>
        <w:keepNext/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 w:rsidRPr="00EE23CF">
        <w:rPr>
          <w:rFonts w:ascii="Verdana" w:eastAsia="Calibri" w:hAnsi="Verdana" w:cs="Times New Roman"/>
          <w:b/>
          <w:sz w:val="20"/>
          <w:szCs w:val="20"/>
          <w:lang w:eastAsia="bg-BG"/>
        </w:rPr>
        <w:lastRenderedPageBreak/>
        <w:t xml:space="preserve">Фиг. 1 </w:t>
      </w:r>
      <w:r>
        <w:rPr>
          <w:rFonts w:ascii="Verdana" w:eastAsia="Calibri" w:hAnsi="Verdana" w:cs="Times New Roman"/>
          <w:b/>
          <w:sz w:val="20"/>
          <w:szCs w:val="20"/>
          <w:lang w:eastAsia="bg-BG"/>
        </w:rPr>
        <w:t>Леглови фонд на заведенията за болнична помощ в област Сливен към 31.12.2024</w:t>
      </w:r>
      <w:r w:rsidRPr="00EE23CF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 г. по </w:t>
      </w:r>
      <w:r w:rsidRPr="00F44131">
        <w:rPr>
          <w:rFonts w:ascii="Verdana" w:eastAsia="Μοντέρνα" w:hAnsi="Verdana" w:cs="Times New Roman"/>
          <w:b/>
          <w:sz w:val="20"/>
          <w:szCs w:val="20"/>
          <w:lang w:eastAsia="bg-BG"/>
        </w:rPr>
        <w:t>видове заведения</w:t>
      </w:r>
    </w:p>
    <w:p w:rsidR="008250CA" w:rsidRPr="00EE23CF" w:rsidRDefault="008250CA" w:rsidP="008250CA">
      <w:pPr>
        <w:spacing w:after="120"/>
        <w:jc w:val="center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1A56B466" wp14:editId="1BB61009">
            <wp:extent cx="4600575" cy="26670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B318831-9446-4384-B47D-72E08B61A9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69B6" w:rsidRPr="00F44131" w:rsidRDefault="008369B6" w:rsidP="00651C8C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Към други лечебни и здравни заведения се отнасят центровете за спешна медицинска помощ, регионалните здравни инспекции, домовете за медико-социални грижи за деца, хосписите, националните центрове без легла, диализните центрове, центровете за трансфузионна хематология, центрове за комплексно обслужване на деца с увреждания и хронични заболявания и др. В област Сливен тези заведения са </w:t>
      </w:r>
      <w:r w:rsidR="00651C8C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4 с 28 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легла в тях.</w:t>
      </w:r>
    </w:p>
    <w:p w:rsidR="008369B6" w:rsidRPr="00F44131" w:rsidRDefault="008369B6" w:rsidP="008369B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края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 основен трудов договор в лечебните и здравните заведения в областта практикуват 52</w:t>
      </w:r>
      <w:r w:rsidR="00651C8C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лекари (табл. 2). Лекарите по дентална медицина са 12</w:t>
      </w:r>
      <w:r w:rsidR="00651C8C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професионалисти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по здравни грижи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и други медицински специалисти 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- </w:t>
      </w:r>
      <w:r w:rsidR="00651C8C">
        <w:rPr>
          <w:rFonts w:ascii="Verdana" w:eastAsia="Μοντέρνα" w:hAnsi="Verdana" w:cs="Times New Roman"/>
          <w:sz w:val="20"/>
          <w:szCs w:val="20"/>
          <w:lang w:eastAsia="bg-BG"/>
        </w:rPr>
        <w:t>904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, като 59</w:t>
      </w:r>
      <w:r w:rsidR="00651C8C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от тях са медицински сестри.</w:t>
      </w:r>
    </w:p>
    <w:p w:rsidR="00651C8C" w:rsidRPr="001B6A78" w:rsidRDefault="00651C8C" w:rsidP="00651C8C">
      <w:pPr>
        <w:keepNext/>
        <w:spacing w:before="160" w:after="160" w:line="360" w:lineRule="auto"/>
        <w:jc w:val="center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Таблица 2. </w:t>
      </w:r>
      <w:r w:rsidRPr="00EE23CF">
        <w:rPr>
          <w:rFonts w:ascii="Verdana" w:eastAsia="Times New Roman" w:hAnsi="Verdana" w:cs="Times New Roman"/>
          <w:b/>
          <w:sz w:val="20"/>
          <w:szCs w:val="20"/>
        </w:rPr>
        <w:t xml:space="preserve">Медицински персонал в област </w:t>
      </w:r>
      <w:r>
        <w:rPr>
          <w:rFonts w:ascii="Verdana" w:eastAsia="Times New Roman" w:hAnsi="Verdana" w:cs="Times New Roman"/>
          <w:b/>
          <w:sz w:val="20"/>
          <w:szCs w:val="20"/>
        </w:rPr>
        <w:t>Сливен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070"/>
        <w:gridCol w:w="1057"/>
        <w:gridCol w:w="1109"/>
        <w:gridCol w:w="1017"/>
      </w:tblGrid>
      <w:tr w:rsidR="00651C8C" w:rsidRPr="00C12002" w:rsidTr="00C12002">
        <w:trPr>
          <w:trHeight w:val="28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713B51" w:rsidRDefault="00713B51" w:rsidP="00E6011E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2024</w:t>
            </w:r>
          </w:p>
        </w:tc>
      </w:tr>
      <w:tr w:rsidR="00651C8C" w:rsidRPr="00C12002" w:rsidTr="00E6011E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Медицински персонал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ind w:left="322" w:hanging="322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Брой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C8C" w:rsidRPr="00C12002" w:rsidRDefault="00651C8C" w:rsidP="00E6011E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На 10 000 души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Лекари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521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30.6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31.1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Лекари по дентална медицина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7.4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7.4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Професионалисти по здравни грижи и други медицински специалисти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898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52.8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53.4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Фелдшери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2.4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2.0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Акушерки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3.4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3.3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 xml:space="preserve">Медицински сестри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593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34.9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35.2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Лаборанти (медицински и рентгенови)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6.5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6.9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Зъботехници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2.6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2.6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Други медицински специалисти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3.1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12002">
              <w:rPr>
                <w:rFonts w:ascii="Verdana" w:hAnsi="Verdana" w:cs="Calibri"/>
                <w:color w:val="000000"/>
                <w:sz w:val="16"/>
                <w:szCs w:val="16"/>
              </w:rPr>
              <w:t>3.4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Население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</w:pPr>
            <w:r w:rsidRPr="00C12002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На един лекар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x</w:t>
            </w:r>
          </w:p>
        </w:tc>
      </w:tr>
      <w:tr w:rsidR="00C12002" w:rsidRPr="00C12002" w:rsidTr="00D3548F">
        <w:trPr>
          <w:trHeight w:val="25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02" w:rsidRPr="00C12002" w:rsidRDefault="00C12002" w:rsidP="00C12002">
            <w:pPr>
              <w:spacing w:line="360" w:lineRule="auto"/>
              <w:ind w:firstLine="30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Times New Roman" w:hAnsi="Verdana" w:cs="Times New Roman"/>
                <w:sz w:val="16"/>
                <w:szCs w:val="16"/>
              </w:rPr>
              <w:t>На един лекар по дентална медицина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1360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12002">
              <w:rPr>
                <w:rFonts w:ascii="Verdana" w:hAnsi="Verdana"/>
                <w:sz w:val="16"/>
                <w:szCs w:val="16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02" w:rsidRPr="00C12002" w:rsidRDefault="00C12002" w:rsidP="00C1200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12002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x</w:t>
            </w:r>
          </w:p>
        </w:tc>
      </w:tr>
    </w:tbl>
    <w:p w:rsidR="008369B6" w:rsidRPr="00F44131" w:rsidRDefault="008369B6" w:rsidP="00713B51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В структурата на лекарите по специалности</w:t>
      </w:r>
      <w:r w:rsidRPr="00F44131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най-голям е броят на общопрактикуващите лекари - 91, или 17.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% от всички практикуващи лекари в областта, следвани от практикуващите Кардиология - 48, или 9.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%, Акушерство и гинекология – 3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или 7.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% и Педиатрия - 2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, или 5.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>% (табл.3).</w:t>
      </w:r>
    </w:p>
    <w:p w:rsidR="008369B6" w:rsidRDefault="008369B6" w:rsidP="008369B6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Осигуреността с лекари в края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31.1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на 10 000 души от населението при 46.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за страната, а с лекари по дентална медицина стойността на показателя е 7.4 при </w:t>
      </w:r>
      <w:r w:rsidR="00A4511D">
        <w:rPr>
          <w:rFonts w:ascii="Verdana" w:eastAsia="Μοντέρνα" w:hAnsi="Verdana" w:cs="Times New Roman"/>
          <w:sz w:val="20"/>
          <w:szCs w:val="20"/>
          <w:lang w:eastAsia="bg-BG"/>
        </w:rPr>
        <w:t>12.1</w:t>
      </w:r>
      <w:r w:rsidRPr="00F44131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на 10 000 за страната.</w:t>
      </w:r>
    </w:p>
    <w:p w:rsidR="00713B51" w:rsidRDefault="004E66C6" w:rsidP="00713B51">
      <w:pPr>
        <w:keepNext/>
        <w:widowControl w:val="0"/>
        <w:spacing w:before="160" w:line="360" w:lineRule="auto"/>
        <w:jc w:val="center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Таблица 3. </w:t>
      </w:r>
      <w:r w:rsidRPr="00EE23CF">
        <w:rPr>
          <w:rFonts w:ascii="Verdana" w:eastAsia="Calibri" w:hAnsi="Verdana" w:cs="Times New Roman"/>
          <w:b/>
          <w:sz w:val="20"/>
          <w:szCs w:val="20"/>
          <w:lang w:eastAsia="bg-BG"/>
        </w:rPr>
        <w:t>Практикуващи лекари по пол и</w:t>
      </w:r>
      <w:r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 възрастови </w:t>
      </w:r>
      <w:r w:rsidR="00713B51">
        <w:rPr>
          <w:rFonts w:ascii="Verdana" w:eastAsia="Calibri" w:hAnsi="Verdana" w:cs="Times New Roman"/>
          <w:b/>
          <w:sz w:val="20"/>
          <w:szCs w:val="20"/>
          <w:lang w:eastAsia="bg-BG"/>
        </w:rPr>
        <w:t>групи</w:t>
      </w:r>
    </w:p>
    <w:p w:rsidR="004E66C6" w:rsidRPr="00EE23CF" w:rsidRDefault="004E66C6" w:rsidP="00713B51">
      <w:pPr>
        <w:keepNext/>
        <w:widowControl w:val="0"/>
        <w:spacing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>
        <w:rPr>
          <w:rFonts w:ascii="Verdana" w:eastAsia="Calibri" w:hAnsi="Verdana" w:cs="Times New Roman"/>
          <w:b/>
          <w:sz w:val="20"/>
          <w:szCs w:val="20"/>
          <w:lang w:eastAsia="bg-BG"/>
        </w:rPr>
        <w:t>към 31.12.2024</w:t>
      </w:r>
      <w:r w:rsidRPr="00EE23CF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 година</w:t>
      </w:r>
    </w:p>
    <w:tbl>
      <w:tblPr>
        <w:tblW w:w="7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2"/>
        <w:gridCol w:w="2637"/>
      </w:tblGrid>
      <w:tr w:rsidR="008369B6" w:rsidRPr="004E66C6" w:rsidTr="004E66C6">
        <w:trPr>
          <w:trHeight w:val="315"/>
          <w:jc w:val="center"/>
        </w:trPr>
        <w:tc>
          <w:tcPr>
            <w:tcW w:w="5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9B6" w:rsidRPr="004E66C6" w:rsidRDefault="004E66C6" w:rsidP="004E66C6">
            <w:pPr>
              <w:spacing w:line="36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4E66C6">
              <w:rPr>
                <w:rFonts w:ascii="Verdana" w:eastAsia="Μοντέρνα" w:hAnsi="Verdana" w:cs="Times New Roman"/>
                <w:b/>
                <w:color w:val="000000"/>
                <w:sz w:val="16"/>
                <w:szCs w:val="16"/>
                <w:lang w:eastAsia="bg-BG"/>
              </w:rPr>
              <w:t>Специалности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9B6" w:rsidRPr="004E66C6" w:rsidRDefault="008369B6" w:rsidP="008369B6">
            <w:pPr>
              <w:spacing w:line="360" w:lineRule="auto"/>
              <w:jc w:val="center"/>
              <w:rPr>
                <w:rFonts w:ascii="Verdana" w:eastAsia="Μοντέρνα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E66C6">
              <w:rPr>
                <w:rFonts w:ascii="Verdana" w:eastAsia="Μοντέρνα" w:hAnsi="Verdana" w:cs="Times New Roman"/>
                <w:b/>
                <w:bCs/>
                <w:color w:val="000000"/>
                <w:sz w:val="16"/>
                <w:szCs w:val="16"/>
                <w:lang w:eastAsia="bg-BG"/>
              </w:rPr>
              <w:t>Брой</w:t>
            </w:r>
          </w:p>
        </w:tc>
      </w:tr>
      <w:tr w:rsidR="008369B6" w:rsidRPr="004E66C6" w:rsidTr="004E66C6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9B6" w:rsidRPr="004E66C6" w:rsidRDefault="008369B6" w:rsidP="008369B6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4E66C6">
              <w:rPr>
                <w:rFonts w:ascii="Verdana" w:hAnsi="Verdana"/>
                <w:b/>
                <w:sz w:val="16"/>
                <w:szCs w:val="16"/>
              </w:rPr>
              <w:t> Лекари общо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9B6" w:rsidRPr="004E66C6" w:rsidRDefault="008369B6" w:rsidP="004E66C6">
            <w:pPr>
              <w:spacing w:line="36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E66C6">
              <w:rPr>
                <w:rFonts w:ascii="Verdana" w:hAnsi="Verdana"/>
                <w:b/>
                <w:sz w:val="16"/>
                <w:szCs w:val="16"/>
              </w:rPr>
              <w:t>52</w:t>
            </w:r>
            <w:r w:rsidR="004E66C6" w:rsidRPr="004E66C6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</w:tr>
      <w:tr w:rsidR="004E66C6" w:rsidRPr="004E66C6" w:rsidTr="002F4F35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8250CA" w:rsidRDefault="008250CA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8250CA">
              <w:rPr>
                <w:rFonts w:ascii="Verdana" w:hAnsi="Verdana"/>
                <w:sz w:val="16"/>
                <w:szCs w:val="16"/>
              </w:rPr>
              <w:t>Общопрактикуващи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91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Кардиология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48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39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Педиатрия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Хирургия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Нервни болести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Спешна медицина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Очни болести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Анестезиология и интензивно лечение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Ендокринология и болести на обмяната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Вътрешни болести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</w:tr>
      <w:tr w:rsidR="004E66C6" w:rsidRPr="004E66C6" w:rsidTr="00FC4710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6C6" w:rsidRPr="004E66C6" w:rsidRDefault="004E66C6" w:rsidP="004E66C6">
            <w:pPr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Образна диагностика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66C6" w:rsidRPr="004E66C6" w:rsidRDefault="004E66C6" w:rsidP="004E66C6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E66C6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</w:tr>
      <w:tr w:rsidR="008369B6" w:rsidRPr="004E66C6" w:rsidTr="004E66C6">
        <w:trPr>
          <w:trHeight w:val="315"/>
          <w:jc w:val="center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9B6" w:rsidRPr="004E66C6" w:rsidRDefault="008369B6" w:rsidP="004E66C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4E66C6">
              <w:rPr>
                <w:rFonts w:ascii="Verdana" w:hAnsi="Verdana"/>
                <w:sz w:val="16"/>
                <w:szCs w:val="16"/>
              </w:rPr>
              <w:t>Други специалности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9B6" w:rsidRPr="004E66C6" w:rsidRDefault="004E66C6" w:rsidP="008369B6">
            <w:pPr>
              <w:spacing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</w:t>
            </w:r>
          </w:p>
        </w:tc>
      </w:tr>
    </w:tbl>
    <w:p w:rsidR="008369B6" w:rsidRPr="00F44131" w:rsidRDefault="008369B6" w:rsidP="00A4511D">
      <w:pPr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44131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>С</w:t>
      </w: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татистическото изследване на лечебните и здравните заведения осигурява информация за здравната мрежа по видове лечебни и здравни заведения и териториалното им разпределение, както и за медицинския персонал по специалности и категории. Провежда се в изпълнение на Регламент (ЕС) 2022/2294 на Комисията по отношение на статистиката за заведенията за здравно обслужване, човешките ресурси в областта на здравното обслужване и използването на здравното обслужване, при стриктно спазване на заложените в нормативния документ дефиниции.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Данните от изследването се отнасят към 31.12. на съответната година.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Легловият фонд включва броя на действително разкритите и временно закритите за срок по-малък от шест месеца легла, но не включва временно разкритите легла.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lastRenderedPageBreak/>
        <w:t>Място за краткотраен престой е специално определена в правилника за устройството, дейността и вътрешния ред на лечебното заведение за болнична помощ, обособена и обозначена площ/територия/пространство в клиника/отделение с легла или без легла за настаняване на пациента, специално съоръжена/о с необходимото битово и техническо оборудване за извършване на определени медицински дейности по диагностика и лечение, които изискват престой на пациента не по-дълъг от 12 часа.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При анализ на данните за здравната мрежа трябва да се има предвид, че броят на заведенията и легловият фонд се променят не само в резултат на разкриване и закриване на заведения, но и поради промени, свързани с преобразуване на заведенията от един вид в друг или обединяване на заведения.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При анализиране на данните за осигуреност на населението с медицинска помощ по области трябва да се имат предвид специфичните особености на медицинското обслужване. Лечебните заведения не са свързани пряко само с обслужването на населението на едно населено място или община и достъпът до медицинска помощ е свободен. Голяма част от заведенията обслужват населението на една област или група общини, а специализираните заведения обслужват населението на няколко области. Заведенията с национален обхват, независимо от тяхното местонамиране, обслужват населението на цялата страна.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В броя на медицинския персонал (физически лица) се включват практикуващите в лечебните и здравните заведения, независимо от ведомствената им подчиненост. Не са включени данни за работещите извън страната медицински специалисти и за тези, които не работят непосредствено в лечебните заведения - например във фармацевтичната промишленост.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При териториалното разпределение на медицинския персонал е приложено следното: медицинските специалисти, които работят в практики по договор с НЗОК, обслужващи повече от една област, респ. община, са включени в общия брой на медицинските специалисти за страната (областта), но не са разпределени по области (общини).</w:t>
      </w:r>
    </w:p>
    <w:p w:rsidR="0060672B" w:rsidRPr="00D9009E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D9009E">
        <w:rPr>
          <w:rFonts w:ascii="Verdana" w:eastAsia="Calibri" w:hAnsi="Verdana" w:cs="Times New Roman"/>
          <w:sz w:val="20"/>
          <w:szCs w:val="20"/>
          <w:lang w:eastAsia="bg-BG"/>
        </w:rPr>
        <w:t>Разпределението на лекарите по специалности е в съответствие с Наредба № 1 от 22 януари 2015 г. на Министерството на здравеопазването (изм. и доп., ДВ, бр. 65 от 2 август 2024 г.) и се отнася до практикуваната специалност. Лекарите, работещи в практики за специализирана медицинска помощ по договор с НЗОК, са разпределени по специалността, по която практикуват. В случай че работят по повече от една специалност, са включени в общия брой на лекарите, но не са разпределени по специалности.</w:t>
      </w:r>
    </w:p>
    <w:p w:rsidR="0060672B" w:rsidRPr="00A97515" w:rsidRDefault="0060672B" w:rsidP="0060672B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  <w:lang w:val="en-US" w:eastAsia="bg-BG"/>
        </w:rPr>
      </w:pPr>
      <w:r w:rsidRPr="00EE23CF">
        <w:rPr>
          <w:rFonts w:ascii="Verdana" w:eastAsia="Calibri" w:hAnsi="Verdana" w:cs="Times New Roman"/>
          <w:sz w:val="20"/>
          <w:szCs w:val="20"/>
          <w:lang w:eastAsia="bg-BG"/>
        </w:rPr>
        <w:t>Повече информация и данни от изследването „Лечебни заведения за болнична и извънболнична помощ и з</w:t>
      </w:r>
      <w:r>
        <w:rPr>
          <w:rFonts w:ascii="Verdana" w:eastAsia="Calibri" w:hAnsi="Verdana" w:cs="Times New Roman"/>
          <w:sz w:val="20"/>
          <w:szCs w:val="20"/>
          <w:lang w:eastAsia="bg-BG"/>
        </w:rPr>
        <w:t>дравни заведения“ са достъпни</w:t>
      </w:r>
      <w:r>
        <w:rPr>
          <w:rFonts w:ascii="Verdana" w:eastAsia="Calibri" w:hAnsi="Verdana" w:cs="Times New Roman"/>
          <w:sz w:val="20"/>
          <w:szCs w:val="20"/>
          <w:lang w:val="en-US" w:eastAsia="bg-BG"/>
        </w:rPr>
        <w:t xml:space="preserve"> </w:t>
      </w: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в </w:t>
      </w:r>
      <w:hyperlink r:id="rId8" w:history="1">
        <w:r>
          <w:rPr>
            <w:rFonts w:ascii="Verdana" w:eastAsia="Calibri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 система „ИНФОСТАТ“</w:t>
        </w:r>
      </w:hyperlink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 и на сайта на НСИ</w:t>
      </w:r>
      <w:r w:rsidRPr="00EE23CF">
        <w:rPr>
          <w:rFonts w:ascii="Verdana" w:eastAsia="Calibri" w:hAnsi="Verdana" w:cs="Times New Roman"/>
          <w:sz w:val="20"/>
          <w:szCs w:val="20"/>
          <w:lang w:eastAsia="bg-BG"/>
        </w:rPr>
        <w:t xml:space="preserve">, </w:t>
      </w: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в </w:t>
      </w:r>
      <w:hyperlink r:id="rId9" w:history="1">
        <w:r w:rsidRPr="00A97515">
          <w:rPr>
            <w:rStyle w:val="Hyperlink"/>
            <w:rFonts w:ascii="Verdana" w:eastAsia="Calibri" w:hAnsi="Verdana" w:cs="Times New Roman"/>
            <w:sz w:val="20"/>
            <w:szCs w:val="20"/>
            <w:lang w:eastAsia="bg-BG"/>
          </w:rPr>
          <w:t>раздел „Здравеопазване“</w:t>
        </w:r>
      </w:hyperlink>
      <w:r w:rsidRPr="00EE23CF">
        <w:rPr>
          <w:rFonts w:ascii="Verdana" w:eastAsia="Calibri" w:hAnsi="Verdana" w:cs="Times New Roman"/>
          <w:sz w:val="20"/>
          <w:szCs w:val="20"/>
          <w:lang w:eastAsia="bg-BG"/>
        </w:rPr>
        <w:t>.</w:t>
      </w:r>
    </w:p>
    <w:sectPr w:rsidR="0060672B" w:rsidRPr="00A97515" w:rsidSect="00CD14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85" w:rsidRDefault="00545385" w:rsidP="008369B6">
      <w:r>
        <w:separator/>
      </w:r>
    </w:p>
  </w:endnote>
  <w:endnote w:type="continuationSeparator" w:id="0">
    <w:p w:rsidR="00545385" w:rsidRDefault="00545385" w:rsidP="008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5818FA" w:rsidRDefault="008C00AA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26B6497" wp14:editId="3CFEC10F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C7BCC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412BE0" wp14:editId="233CF888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4FAA7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17502C" wp14:editId="1A6B8EDD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8C00AA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078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17502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66593" w:rsidRPr="00DD11CB" w:rsidRDefault="008C00AA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078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66593" w:rsidRPr="00054328" w:rsidRDefault="008C00AA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04FE5" w:rsidRDefault="008C00AA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C2E0F" wp14:editId="5E4FC5B2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8C00AA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078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0C2E0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066593" w:rsidRPr="00DD11CB" w:rsidRDefault="008C00AA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078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602C1C" wp14:editId="4588FDF8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0A63C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85" w:rsidRDefault="00545385" w:rsidP="008369B6">
      <w:r>
        <w:separator/>
      </w:r>
    </w:p>
  </w:footnote>
  <w:footnote w:type="continuationSeparator" w:id="0">
    <w:p w:rsidR="00545385" w:rsidRDefault="00545385" w:rsidP="008369B6">
      <w:r>
        <w:continuationSeparator/>
      </w:r>
    </w:p>
  </w:footnote>
  <w:footnote w:id="1">
    <w:p w:rsidR="008369B6" w:rsidRPr="001B54E3" w:rsidRDefault="008369B6" w:rsidP="008369B6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1B54E3">
        <w:rPr>
          <w:rStyle w:val="FootnoteReference"/>
          <w:rFonts w:ascii="Verdana" w:hAnsi="Verdana"/>
          <w:sz w:val="16"/>
          <w:szCs w:val="16"/>
        </w:rPr>
        <w:footnoteRef/>
      </w:r>
      <w:r w:rsidRPr="001B54E3">
        <w:rPr>
          <w:rFonts w:ascii="Verdana" w:hAnsi="Verdana"/>
          <w:sz w:val="16"/>
          <w:szCs w:val="16"/>
          <w:lang w:val="ru-RU"/>
        </w:rPr>
        <w:t xml:space="preserve"> </w:t>
      </w:r>
      <w:r w:rsidRPr="001B54E3">
        <w:rPr>
          <w:rFonts w:ascii="Verdana" w:hAnsi="Verdana"/>
          <w:sz w:val="16"/>
          <w:szCs w:val="16"/>
          <w:lang w:val="bg-BG"/>
        </w:rPr>
        <w:t>Разпределението на лекарите по специалности се отнася до практикуваната специалност. Включени са и лекарите, работещи в практики за специализирана медицинска помощ. Не са разпределени лекарите, които практикуват по повече от една специалност.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54328" w:rsidRDefault="008C00AA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3EBE06" wp14:editId="070CD59C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508958"/>
              <wp:effectExtent l="0" t="0" r="10160" b="571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508958"/>
                        <a:chOff x="0" y="-175564"/>
                        <a:chExt cx="6066790" cy="508958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666156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9B6" w:rsidRPr="00F44131" w:rsidRDefault="008369B6" w:rsidP="008369B6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44131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>ЛЕЧЕБНИ ЗАВЕДЕНИЯ ЗА БОЛНИЧНА И ИЗВЪНБОЛНИЧНА ПОМОЩ И ЗДРАВНИ ЗАВЕДЕНИЯ В ОБЛАСТ СЛИВЕН КЪМ 31.12.202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>4</w:t>
                            </w:r>
                            <w:r w:rsidRPr="00F44131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66593" w:rsidRPr="00101DE0" w:rsidRDefault="00545385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3EBE06" id="Group 7" o:spid="_x0000_s1027" style="position:absolute;margin-left:-12.3pt;margin-top:-80.95pt;width:477.7pt;height:40.1pt;z-index:251661312;mso-height-relative:margin" coordorigin=",-1755" coordsize="60667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6661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8369B6" w:rsidRPr="00F44131" w:rsidRDefault="008369B6" w:rsidP="008369B6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</w:pPr>
                      <w:r w:rsidRPr="00F44131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>ЛЕЧЕБНИ ЗАВЕДЕНИЯ ЗА БОЛНИЧНА И ИЗВЪНБОЛНИЧНА ПОМОЩ И ЗДРАВНИ ЗАВЕДЕНИЯ В ОБЛАСТ СЛИВЕН КЪМ 31.12.202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>4</w:t>
                      </w:r>
                      <w:r w:rsidRPr="00F44131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66593" w:rsidRPr="00101DE0" w:rsidRDefault="008C00AA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9E4021" w:rsidRDefault="008C00AA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2B5476E6" wp14:editId="62621B63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C189E4" wp14:editId="63D3E35E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593" w:rsidRDefault="008C00AA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066593" w:rsidRPr="00FD731D" w:rsidRDefault="008C00AA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189E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066593" w:rsidRDefault="008C00AA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66593" w:rsidRPr="00FD731D" w:rsidRDefault="008C00AA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C66A6F" wp14:editId="20EE03A3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9CB16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660E397D" wp14:editId="4AC04FDE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EC4E139" wp14:editId="72011EEC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AB556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1F84"/>
    <w:multiLevelType w:val="hybridMultilevel"/>
    <w:tmpl w:val="E4B0CBB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D00FF"/>
    <w:multiLevelType w:val="hybridMultilevel"/>
    <w:tmpl w:val="899A5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6"/>
    <w:rsid w:val="00265ACF"/>
    <w:rsid w:val="004E66C6"/>
    <w:rsid w:val="00545385"/>
    <w:rsid w:val="0060672B"/>
    <w:rsid w:val="00651C8C"/>
    <w:rsid w:val="00713B51"/>
    <w:rsid w:val="008250CA"/>
    <w:rsid w:val="008369B6"/>
    <w:rsid w:val="008C00AA"/>
    <w:rsid w:val="008F0A0D"/>
    <w:rsid w:val="00A44078"/>
    <w:rsid w:val="00A4511D"/>
    <w:rsid w:val="00B40BF8"/>
    <w:rsid w:val="00C12002"/>
    <w:rsid w:val="00C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ED01A75-3FE1-4C7C-995D-38798614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B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69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69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369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69B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69B6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369B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9B6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9B6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8369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6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si.bg/statistical-data/241/78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PRESS\Press_2024\pom%20tabl%20health_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BA-4BCE-AEB2-9959A31C34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BA-4BCE-AEB2-9959A31C34A3}"/>
              </c:ext>
            </c:extLst>
          </c:dPt>
          <c:dLbls>
            <c:dLbl>
              <c:idx val="0"/>
              <c:layout>
                <c:manualLayout>
                  <c:x val="-4.130577427821522E-3"/>
                  <c:y val="-1.056065908428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A-4BCE-AEB2-9959A31C34A3}"/>
                </c:ext>
              </c:extLst>
            </c:dLbl>
            <c:dLbl>
              <c:idx val="1"/>
              <c:layout>
                <c:manualLayout>
                  <c:x val="1.3510498687664043E-3"/>
                  <c:y val="1.198308544765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A-4BCE-AEB2-9959A31C34A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'графика 2024'!$A$5:$A$6</c:f>
              <c:strCache>
                <c:ptCount val="2"/>
                <c:pt idx="0">
                  <c:v>Многопрофилни болници</c:v>
                </c:pt>
                <c:pt idx="1">
                  <c:v>Специалнизирани болници</c:v>
                </c:pt>
              </c:strCache>
            </c:strRef>
          </c:cat>
          <c:val>
            <c:numRef>
              <c:f>'графика 2024'!$B$5:$B$6</c:f>
              <c:numCache>
                <c:formatCode>0.000</c:formatCode>
                <c:ptCount val="2"/>
                <c:pt idx="0">
                  <c:v>0.83778437190900101</c:v>
                </c:pt>
                <c:pt idx="1">
                  <c:v>0.16221562809099901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BA-4BCE-AEB2-9959A31C3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6</cp:revision>
  <cp:lastPrinted>2025-06-23T13:22:00Z</cp:lastPrinted>
  <dcterms:created xsi:type="dcterms:W3CDTF">2025-06-23T12:43:00Z</dcterms:created>
  <dcterms:modified xsi:type="dcterms:W3CDTF">2025-06-26T06:14:00Z</dcterms:modified>
</cp:coreProperties>
</file>