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7" w:rsidRPr="00077E55" w:rsidRDefault="00375B97" w:rsidP="00375B9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375B97" w:rsidRPr="005E2796" w:rsidRDefault="00375B97" w:rsidP="00375B9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375B97" w:rsidRPr="005E2796" w:rsidRDefault="00375B97" w:rsidP="00375B9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375B97" w:rsidRPr="005E2796" w:rsidRDefault="00375B97" w:rsidP="00375B9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5E2796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106B07" wp14:editId="27E6A2B1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B97" w:rsidRPr="004F6479" w:rsidRDefault="00375B97" w:rsidP="00375B97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375B97" w:rsidRPr="004F6479" w:rsidRDefault="00375B97" w:rsidP="00375B97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106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375B97" w:rsidRPr="004F6479" w:rsidRDefault="00375B97" w:rsidP="00375B97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375B97" w:rsidRPr="004F6479" w:rsidRDefault="00375B97" w:rsidP="00375B97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5B97" w:rsidRPr="005E2796" w:rsidRDefault="00375B97" w:rsidP="00375B9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375B97" w:rsidRDefault="00375B97" w:rsidP="00375B97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</w:p>
    <w:p w:rsidR="00375B97" w:rsidRPr="00325FF4" w:rsidRDefault="00375B97" w:rsidP="00375B97">
      <w:pPr>
        <w:tabs>
          <w:tab w:val="left" w:pos="360"/>
        </w:tabs>
        <w:spacing w:after="160" w:line="360" w:lineRule="auto"/>
        <w:jc w:val="center"/>
        <w:outlineLvl w:val="0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325FF4">
        <w:rPr>
          <w:rFonts w:ascii="Verdana" w:eastAsia="Μοντέρνα" w:hAnsi="Verdana" w:cs="Times New Roman"/>
          <w:b/>
          <w:sz w:val="20"/>
          <w:szCs w:val="20"/>
          <w:lang w:eastAsia="bg-BG"/>
        </w:rPr>
        <w:t>ЦЕНИ НА ЗЕМЕДЕЛСКАТА ЗЕМЯ И АРЕНДАТА В СЕЛСКОТО СТОПАНСТВО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ОБЛАСТ СЛИВЕН ПРЕЗ 2024</w:t>
      </w:r>
      <w:r w:rsidRPr="00325FF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i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>През 2024</w:t>
      </w:r>
      <w:r w:rsidRPr="00325FF4"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 г. средната цена на сделките с ни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>ви в област Сливен достига 1</w:t>
      </w:r>
      <w:r w:rsidR="005A0C0E">
        <w:rPr>
          <w:rFonts w:ascii="Verdana" w:eastAsia="Μοντέρνα" w:hAnsi="Verdana" w:cs="Times New Roman"/>
          <w:i/>
          <w:sz w:val="20"/>
          <w:szCs w:val="20"/>
          <w:lang w:val="en-US" w:eastAsia="bg-BG"/>
        </w:rPr>
        <w:t> 649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 лв. за един декар, което е ръст от </w:t>
      </w:r>
      <w:r w:rsidR="005A0C0E">
        <w:rPr>
          <w:rFonts w:ascii="Verdana" w:eastAsia="Μοντέρνα" w:hAnsi="Verdana" w:cs="Times New Roman"/>
          <w:i/>
          <w:sz w:val="20"/>
          <w:szCs w:val="20"/>
          <w:lang w:val="en-US" w:eastAsia="bg-BG"/>
        </w:rPr>
        <w:t>18.3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>% спрямо 2023</w:t>
      </w:r>
      <w:r w:rsidRPr="00325FF4"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 година.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i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>През 2024</w:t>
      </w:r>
      <w:r w:rsidRPr="00325FF4"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 г. средната цена за наем/арен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да на един декар ниви достига </w:t>
      </w:r>
      <w:r w:rsidR="005A0C0E">
        <w:rPr>
          <w:rFonts w:ascii="Verdana" w:eastAsia="Μοντέρνα" w:hAnsi="Verdana" w:cs="Times New Roman"/>
          <w:i/>
          <w:sz w:val="20"/>
          <w:szCs w:val="20"/>
          <w:lang w:val="en-US" w:eastAsia="bg-BG"/>
        </w:rPr>
        <w:t>50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 xml:space="preserve"> лв., </w:t>
      </w:r>
      <w:r w:rsidR="00DD2E2D">
        <w:rPr>
          <w:rFonts w:ascii="Verdana" w:eastAsia="Times New Roman" w:hAnsi="Verdana" w:cs="Times New Roman"/>
          <w:sz w:val="20"/>
          <w:szCs w:val="20"/>
          <w:lang w:eastAsia="bg-BG"/>
        </w:rPr>
        <w:t>тя е по-ниска с 5.7%</w:t>
      </w:r>
      <w:r w:rsidR="00DD2E2D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>
        <w:rPr>
          <w:rFonts w:ascii="Verdana" w:eastAsia="Μοντέρνα" w:hAnsi="Verdana" w:cs="Times New Roman"/>
          <w:i/>
          <w:sz w:val="20"/>
          <w:szCs w:val="20"/>
          <w:lang w:eastAsia="bg-BG"/>
        </w:rPr>
        <w:t>спрямо 2023 г.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before="160" w:after="160" w:line="360" w:lineRule="auto"/>
        <w:ind w:firstLine="567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>Цени на сделките със земеделск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а земя в област Сливен през 2024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година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През 2024</w:t>
      </w:r>
      <w:r w:rsidRPr="009D696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средната цена на сделките с ни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ви в област Сливен достига 1</w:t>
      </w:r>
      <w:r w:rsidR="005A0C0E">
        <w:rPr>
          <w:rFonts w:ascii="Verdana" w:eastAsia="Times New Roman" w:hAnsi="Verdana" w:cs="Times New Roman"/>
          <w:sz w:val="20"/>
          <w:szCs w:val="20"/>
          <w:lang w:val="en-US" w:eastAsia="bg-BG"/>
        </w:rPr>
        <w:t> 649</w:t>
      </w:r>
      <w:r w:rsidRPr="009D696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лв. за един декар,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което е с </w:t>
      </w:r>
      <w:r w:rsidR="005A0C0E">
        <w:rPr>
          <w:rFonts w:ascii="Verdana" w:eastAsia="Times New Roman" w:hAnsi="Verdana" w:cs="Times New Roman"/>
          <w:sz w:val="20"/>
          <w:szCs w:val="20"/>
          <w:lang w:val="en-US" w:eastAsia="bg-BG"/>
        </w:rPr>
        <w:t>18.3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% повече в сравнение с 2023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година (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виж 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>табл. 1). Спрямо средна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та стойност за страната (1</w:t>
      </w:r>
      <w:r w:rsidR="005A0C0E">
        <w:rPr>
          <w:rFonts w:ascii="Verdana" w:eastAsia="Times New Roman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697 лв./дка) през 2024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средната цена на нивите в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област Сливен е по-ниска с </w:t>
      </w:r>
      <w:r w:rsidR="005A0C0E">
        <w:rPr>
          <w:rFonts w:ascii="Verdana" w:eastAsia="Times New Roman" w:hAnsi="Verdana" w:cs="Times New Roman"/>
          <w:sz w:val="20"/>
          <w:szCs w:val="20"/>
          <w:lang w:val="en-US" w:eastAsia="bg-BG"/>
        </w:rPr>
        <w:t>2.8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%.</w:t>
      </w:r>
    </w:p>
    <w:p w:rsidR="00375B97" w:rsidRDefault="00375B97" w:rsidP="00375B97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Таблица 1. </w:t>
      </w:r>
      <w:r w:rsidRPr="009D696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Средни цени на сделките със земеделска земя в област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Сливен</w:t>
      </w:r>
      <w:r w:rsidRPr="009D696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по категории за използ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ване на земята през периода 2020 - 2024</w:t>
      </w:r>
      <w:r w:rsidRPr="009D696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година</w:t>
      </w:r>
    </w:p>
    <w:p w:rsidR="00375B97" w:rsidRPr="001A6385" w:rsidRDefault="00375B97" w:rsidP="00375B97">
      <w:pPr>
        <w:ind w:right="-1"/>
        <w:jc w:val="right"/>
        <w:rPr>
          <w:rFonts w:ascii="Verdana" w:eastAsia="Times New Roman" w:hAnsi="Verdana" w:cs="Times New Roman"/>
          <w:sz w:val="16"/>
          <w:lang w:eastAsia="bg-BG"/>
        </w:rPr>
      </w:pPr>
      <w:r w:rsidRPr="001A6385">
        <w:rPr>
          <w:rFonts w:ascii="Verdana" w:eastAsia="Times New Roman" w:hAnsi="Verdana" w:cs="Times New Roman"/>
          <w:sz w:val="16"/>
          <w:lang w:eastAsia="bg-BG"/>
        </w:rPr>
        <w:t>(Лв./дка)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1060"/>
        <w:gridCol w:w="1061"/>
        <w:gridCol w:w="1062"/>
        <w:gridCol w:w="1061"/>
        <w:gridCol w:w="1061"/>
      </w:tblGrid>
      <w:tr w:rsidR="00375B97" w:rsidRPr="00312575" w:rsidTr="009F4C5A">
        <w:trPr>
          <w:trHeight w:val="380"/>
          <w:jc w:val="center"/>
        </w:trPr>
        <w:tc>
          <w:tcPr>
            <w:tcW w:w="3805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Категории на земята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2021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2022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2024</w:t>
            </w:r>
          </w:p>
        </w:tc>
      </w:tr>
      <w:tr w:rsidR="005A0C0E" w:rsidRPr="00312575" w:rsidTr="00D53B65">
        <w:trPr>
          <w:trHeight w:val="255"/>
          <w:jc w:val="center"/>
        </w:trPr>
        <w:tc>
          <w:tcPr>
            <w:tcW w:w="3805" w:type="dxa"/>
            <w:shd w:val="clear" w:color="auto" w:fill="auto"/>
            <w:vAlign w:val="center"/>
            <w:hideMark/>
          </w:tcPr>
          <w:p w:rsidR="005A0C0E" w:rsidRPr="009D6962" w:rsidRDefault="005A0C0E" w:rsidP="005A0C0E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н</w:t>
            </w:r>
            <w:r w:rsidRPr="009D69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 xml:space="preserve">иви </w:t>
            </w:r>
          </w:p>
        </w:tc>
        <w:tc>
          <w:tcPr>
            <w:tcW w:w="1060" w:type="dxa"/>
            <w:shd w:val="clear" w:color="auto" w:fill="auto"/>
            <w:noWrap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1</w:t>
            </w:r>
            <w:r w:rsidRPr="00EE24B3">
              <w:rPr>
                <w:rFonts w:ascii="Verdana" w:eastAsia="Times New Roman" w:hAnsi="Verdana" w:cs="Times New Roman"/>
                <w:sz w:val="16"/>
                <w:szCs w:val="20"/>
                <w:lang w:eastAsia="bg-BG"/>
              </w:rPr>
              <w:t> </w:t>
            </w:r>
            <w:r w:rsidRPr="00EE24B3">
              <w:rPr>
                <w:rFonts w:ascii="Verdana" w:hAnsi="Verdana"/>
                <w:sz w:val="16"/>
                <w:szCs w:val="18"/>
              </w:rPr>
              <w:t>010</w:t>
            </w:r>
          </w:p>
        </w:tc>
        <w:tc>
          <w:tcPr>
            <w:tcW w:w="1061" w:type="dxa"/>
            <w:shd w:val="clear" w:color="auto" w:fill="auto"/>
            <w:noWrap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1</w:t>
            </w:r>
            <w:r w:rsidRPr="00EE24B3">
              <w:rPr>
                <w:rFonts w:ascii="Verdana" w:eastAsia="Times New Roman" w:hAnsi="Verdana" w:cs="Times New Roman"/>
                <w:sz w:val="16"/>
                <w:szCs w:val="20"/>
                <w:lang w:eastAsia="bg-BG"/>
              </w:rPr>
              <w:t> </w:t>
            </w:r>
            <w:r w:rsidRPr="00EE24B3">
              <w:rPr>
                <w:rFonts w:ascii="Verdana" w:hAnsi="Verdana"/>
                <w:sz w:val="16"/>
                <w:szCs w:val="18"/>
              </w:rPr>
              <w:t>062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1</w:t>
            </w:r>
            <w:r w:rsidRPr="00EE24B3">
              <w:rPr>
                <w:rFonts w:ascii="Verdana" w:eastAsia="Times New Roman" w:hAnsi="Verdana" w:cs="Times New Roman"/>
                <w:sz w:val="16"/>
                <w:szCs w:val="20"/>
                <w:lang w:eastAsia="bg-BG"/>
              </w:rPr>
              <w:t> </w:t>
            </w:r>
            <w:r w:rsidRPr="00EE24B3">
              <w:rPr>
                <w:rFonts w:ascii="Verdana" w:hAnsi="Verdana"/>
                <w:sz w:val="16"/>
                <w:szCs w:val="18"/>
              </w:rPr>
              <w:t>204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5A0C0E" w:rsidRPr="00C932E1" w:rsidRDefault="005A0C0E" w:rsidP="00C932E1">
            <w:pPr>
              <w:jc w:val="right"/>
              <w:rPr>
                <w:rFonts w:ascii="Verdana" w:hAnsi="Verdana"/>
                <w:sz w:val="16"/>
                <w:szCs w:val="18"/>
                <w:lang w:val="en-US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1</w:t>
            </w:r>
            <w:r w:rsidRPr="00EE24B3">
              <w:rPr>
                <w:rFonts w:ascii="Verdana" w:eastAsia="Times New Roman" w:hAnsi="Verdana" w:cs="Times New Roman"/>
                <w:sz w:val="16"/>
                <w:szCs w:val="20"/>
                <w:lang w:eastAsia="bg-BG"/>
              </w:rPr>
              <w:t> </w:t>
            </w:r>
            <w:r w:rsidRPr="00EE24B3">
              <w:rPr>
                <w:rFonts w:ascii="Verdana" w:hAnsi="Verdana"/>
                <w:sz w:val="16"/>
                <w:szCs w:val="18"/>
              </w:rPr>
              <w:t>3</w:t>
            </w:r>
            <w:r w:rsidR="00C932E1">
              <w:rPr>
                <w:rFonts w:ascii="Verdana" w:hAnsi="Verdana"/>
                <w:sz w:val="16"/>
                <w:szCs w:val="18"/>
                <w:lang w:val="en-US"/>
              </w:rPr>
              <w:t>94</w:t>
            </w:r>
          </w:p>
        </w:tc>
        <w:tc>
          <w:tcPr>
            <w:tcW w:w="1061" w:type="dxa"/>
            <w:shd w:val="clear" w:color="auto" w:fill="auto"/>
            <w:noWrap/>
          </w:tcPr>
          <w:p w:rsidR="005A0C0E" w:rsidRPr="005A0C0E" w:rsidRDefault="005A0C0E" w:rsidP="005A0C0E">
            <w:pPr>
              <w:jc w:val="right"/>
              <w:rPr>
                <w:rFonts w:ascii="Verdana" w:hAnsi="Verdana"/>
                <w:sz w:val="16"/>
                <w:szCs w:val="18"/>
                <w:lang w:val="en-US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1</w:t>
            </w:r>
            <w:r w:rsidRPr="00EE24B3">
              <w:rPr>
                <w:rFonts w:ascii="Verdana" w:eastAsia="Times New Roman" w:hAnsi="Verdana" w:cs="Times New Roman"/>
                <w:sz w:val="16"/>
                <w:szCs w:val="20"/>
                <w:lang w:eastAsia="bg-BG"/>
              </w:rPr>
              <w:t> </w:t>
            </w:r>
            <w:r>
              <w:rPr>
                <w:rFonts w:ascii="Verdana" w:hAnsi="Verdana"/>
                <w:sz w:val="16"/>
                <w:szCs w:val="18"/>
                <w:lang w:val="en-US"/>
              </w:rPr>
              <w:t>649</w:t>
            </w:r>
          </w:p>
        </w:tc>
      </w:tr>
      <w:tr w:rsidR="005A0C0E" w:rsidRPr="00312575" w:rsidTr="00D53B65">
        <w:trPr>
          <w:trHeight w:val="255"/>
          <w:jc w:val="center"/>
        </w:trPr>
        <w:tc>
          <w:tcPr>
            <w:tcW w:w="3805" w:type="dxa"/>
            <w:shd w:val="clear" w:color="auto" w:fill="auto"/>
            <w:vAlign w:val="center"/>
            <w:hideMark/>
          </w:tcPr>
          <w:p w:rsidR="005A0C0E" w:rsidRPr="009D6962" w:rsidRDefault="005A0C0E" w:rsidP="005A0C0E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п</w:t>
            </w:r>
            <w:r w:rsidRPr="009D69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остоянно затревени площи</w:t>
            </w:r>
          </w:p>
        </w:tc>
        <w:tc>
          <w:tcPr>
            <w:tcW w:w="1060" w:type="dxa"/>
            <w:shd w:val="clear" w:color="auto" w:fill="auto"/>
            <w:noWrap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noWrap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noWrap/>
          </w:tcPr>
          <w:p w:rsidR="005A0C0E" w:rsidRPr="00EE24B3" w:rsidRDefault="005A0C0E" w:rsidP="005A0C0E">
            <w:pPr>
              <w:jc w:val="right"/>
              <w:rPr>
                <w:rFonts w:ascii="Verdana" w:hAnsi="Verdana"/>
                <w:sz w:val="16"/>
                <w:szCs w:val="18"/>
              </w:rPr>
            </w:pPr>
            <w:r w:rsidRPr="00EE24B3">
              <w:rPr>
                <w:rFonts w:ascii="Verdana" w:hAnsi="Verdana"/>
                <w:sz w:val="16"/>
                <w:szCs w:val="18"/>
              </w:rPr>
              <w:t>-</w:t>
            </w:r>
          </w:p>
        </w:tc>
      </w:tr>
    </w:tbl>
    <w:p w:rsidR="00375B97" w:rsidRPr="009D6962" w:rsidRDefault="005A0C0E" w:rsidP="002322A9">
      <w:pPr>
        <w:tabs>
          <w:tab w:val="left" w:pos="770"/>
        </w:tabs>
        <w:autoSpaceDE w:val="0"/>
        <w:autoSpaceDN w:val="0"/>
        <w:adjustRightInd w:val="0"/>
        <w:spacing w:after="16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16"/>
          <w:szCs w:val="20"/>
          <w:lang w:eastAsia="bg-BG"/>
        </w:rPr>
        <w:t>„-“ - няма случай</w:t>
      </w:r>
    </w:p>
    <w:p w:rsidR="00375B97" w:rsidRPr="00325FF4" w:rsidRDefault="005A0C0E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lang w:eastAsia="bg-BG"/>
        </w:rPr>
      </w:pP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>През 202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>4</w:t>
      </w: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най-ниска е цената на сделките с ниви в община Сливен - 1</w:t>
      </w:r>
      <w:r w:rsidRPr="00C2663C">
        <w:rPr>
          <w:rFonts w:ascii="Verdana" w:eastAsia="Times New Roman" w:hAnsi="Verdana" w:cs="Times New Roman"/>
          <w:sz w:val="20"/>
          <w:szCs w:val="20"/>
          <w:lang w:eastAsia="bg-BG"/>
        </w:rPr>
        <w:t> 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>386</w:t>
      </w: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лв. на декар, което е с 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>8.5</w:t>
      </w: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повече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спрямо предходната година.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>Увеличение в цената на сделките с ниви през 202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>4</w:t>
      </w:r>
      <w:r w:rsidRPr="00D111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спрямо предходната година е отбелязано и в общин</w:t>
      </w:r>
      <w:r w:rsidRPr="009C08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 </w:t>
      </w:r>
      <w:r w:rsidRPr="00EE24B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Нова Загора - </w:t>
      </w:r>
      <w:r w:rsidR="007C69DD">
        <w:rPr>
          <w:rFonts w:ascii="Verdana" w:eastAsia="Times New Roman" w:hAnsi="Verdana" w:cs="Times New Roman"/>
          <w:sz w:val="20"/>
          <w:szCs w:val="20"/>
          <w:lang w:val="en-US" w:eastAsia="bg-BG"/>
        </w:rPr>
        <w:t>23.4</w:t>
      </w:r>
      <w:r w:rsidRPr="00EE24B3">
        <w:rPr>
          <w:rFonts w:ascii="Verdana" w:eastAsia="Times New Roman" w:hAnsi="Verdana" w:cs="Times New Roman"/>
          <w:sz w:val="20"/>
          <w:szCs w:val="20"/>
          <w:lang w:eastAsia="bg-BG"/>
        </w:rPr>
        <w:t>%.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before="160" w:after="160" w:line="360" w:lineRule="auto"/>
        <w:ind w:firstLine="567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12575">
        <w:rPr>
          <w:rFonts w:ascii="Verdana" w:eastAsia="Times New Roman" w:hAnsi="Verdana" w:cs="Times New Roman"/>
          <w:b/>
          <w:sz w:val="20"/>
          <w:szCs w:val="20"/>
          <w:lang w:eastAsia="bg-BG"/>
        </w:rPr>
        <w:t>Цена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за наем/аренда на земеделскат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а земя в област Сливен през 2024</w:t>
      </w:r>
      <w:r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 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>година</w:t>
      </w:r>
    </w:p>
    <w:p w:rsidR="00375B97" w:rsidRPr="00325FF4" w:rsidRDefault="00375B97" w:rsidP="008E44AB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През 2024</w:t>
      </w:r>
      <w:r w:rsidRPr="009D696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в област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Сливен</w:t>
      </w:r>
      <w:r w:rsidRPr="009D696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средната цена за наем/аренда на един декар ниви достига </w:t>
      </w:r>
      <w:r w:rsidR="00B14D94">
        <w:rPr>
          <w:rFonts w:ascii="Verdana" w:eastAsia="Times New Roman" w:hAnsi="Verdana" w:cs="Times New Roman"/>
          <w:sz w:val="20"/>
          <w:szCs w:val="20"/>
          <w:lang w:eastAsia="bg-BG"/>
        </w:rPr>
        <w:t>50</w:t>
      </w:r>
      <w:r w:rsidRPr="009D696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лв., </w:t>
      </w:r>
      <w:r w:rsidRPr="00312575">
        <w:rPr>
          <w:rFonts w:ascii="Verdana" w:eastAsia="Times New Roman" w:hAnsi="Verdana" w:cs="Times New Roman"/>
          <w:sz w:val="20"/>
          <w:szCs w:val="20"/>
          <w:lang w:eastAsia="bg-BG"/>
        </w:rPr>
        <w:t>като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спрямо 2023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тя </w:t>
      </w:r>
      <w:r w:rsidR="008B1F8C">
        <w:rPr>
          <w:rFonts w:ascii="Verdana" w:eastAsia="Times New Roman" w:hAnsi="Verdana" w:cs="Times New Roman"/>
          <w:sz w:val="20"/>
          <w:szCs w:val="20"/>
          <w:lang w:eastAsia="bg-BG"/>
        </w:rPr>
        <w:t>е по-ниска с 5.7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%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>. В сравнение с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ъс средната цена за страната (60 лв./дка), през 2024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цената за наем/аренда на един декар ниви в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8B1F8C">
        <w:rPr>
          <w:rFonts w:ascii="Verdana" w:eastAsia="Times New Roman" w:hAnsi="Verdana" w:cs="Times New Roman"/>
          <w:sz w:val="20"/>
          <w:szCs w:val="20"/>
          <w:lang w:eastAsia="bg-BG"/>
        </w:rPr>
        <w:t>област Сливен е по-ниска с 16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.7%.</w:t>
      </w:r>
    </w:p>
    <w:p w:rsidR="00375B97" w:rsidRDefault="00375B97" w:rsidP="00375B97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D6962">
        <w:rPr>
          <w:rFonts w:ascii="Verdana" w:eastAsia="Times New Roman" w:hAnsi="Verdana" w:cs="Times New Roman"/>
          <w:b/>
          <w:sz w:val="20"/>
          <w:szCs w:val="20"/>
          <w:lang w:eastAsia="bg-BG"/>
        </w:rPr>
        <w:lastRenderedPageBreak/>
        <w:t xml:space="preserve">Таблица </w:t>
      </w:r>
      <w:r w:rsidR="004C0445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2</w:t>
      </w:r>
      <w:r w:rsidRPr="009D696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</w:t>
      </w:r>
      <w:r w:rsidRPr="00312575">
        <w:rPr>
          <w:rFonts w:ascii="Verdana" w:eastAsia="Times New Roman" w:hAnsi="Verdana" w:cs="Times New Roman"/>
          <w:b/>
          <w:sz w:val="20"/>
          <w:szCs w:val="20"/>
          <w:lang w:eastAsia="bg-BG"/>
        </w:rPr>
        <w:t>С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редни цени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з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а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наем/аренда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на земеделска земя в област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Сливен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по категории за използ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ване на земята през периода 2020 - 2024</w:t>
      </w:r>
      <w:r w:rsidRPr="00325FF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година</w:t>
      </w:r>
    </w:p>
    <w:p w:rsidR="00375B97" w:rsidRPr="001A6385" w:rsidRDefault="00375B97" w:rsidP="00375B97">
      <w:pPr>
        <w:jc w:val="right"/>
        <w:rPr>
          <w:rFonts w:ascii="Verdana" w:eastAsia="Times New Roman" w:hAnsi="Verdana" w:cs="Times New Roman"/>
          <w:sz w:val="16"/>
          <w:lang w:eastAsia="bg-BG"/>
        </w:rPr>
      </w:pPr>
      <w:r w:rsidRPr="001A6385">
        <w:rPr>
          <w:rFonts w:ascii="Verdana" w:eastAsia="Times New Roman" w:hAnsi="Verdana" w:cs="Times New Roman"/>
          <w:sz w:val="16"/>
          <w:lang w:eastAsia="bg-BG"/>
        </w:rPr>
        <w:t>(Лв./дка)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014"/>
        <w:gridCol w:w="1014"/>
        <w:gridCol w:w="1014"/>
        <w:gridCol w:w="1014"/>
        <w:gridCol w:w="1079"/>
      </w:tblGrid>
      <w:tr w:rsidR="00375B97" w:rsidRPr="001647DE" w:rsidTr="008B1F8C">
        <w:trPr>
          <w:trHeight w:val="380"/>
          <w:jc w:val="center"/>
        </w:trPr>
        <w:tc>
          <w:tcPr>
            <w:tcW w:w="3932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Категории на земята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2021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5B97" w:rsidRPr="009D6962" w:rsidRDefault="00375B97" w:rsidP="009F4C5A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2024</w:t>
            </w:r>
          </w:p>
        </w:tc>
      </w:tr>
      <w:tr w:rsidR="008B1F8C" w:rsidRPr="001647DE" w:rsidTr="008B1F8C">
        <w:trPr>
          <w:trHeight w:val="263"/>
          <w:jc w:val="center"/>
        </w:trPr>
        <w:tc>
          <w:tcPr>
            <w:tcW w:w="3932" w:type="dxa"/>
            <w:shd w:val="clear" w:color="auto" w:fill="auto"/>
            <w:vAlign w:val="center"/>
            <w:hideMark/>
          </w:tcPr>
          <w:p w:rsidR="008B1F8C" w:rsidRPr="009D6962" w:rsidRDefault="008B1F8C" w:rsidP="008B1F8C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 xml:space="preserve">ниви 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79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</w:tr>
      <w:tr w:rsidR="008B1F8C" w:rsidRPr="001647DE" w:rsidTr="008B1F8C">
        <w:trPr>
          <w:trHeight w:val="263"/>
          <w:jc w:val="center"/>
        </w:trPr>
        <w:tc>
          <w:tcPr>
            <w:tcW w:w="3932" w:type="dxa"/>
            <w:shd w:val="clear" w:color="auto" w:fill="auto"/>
            <w:vAlign w:val="center"/>
            <w:hideMark/>
          </w:tcPr>
          <w:p w:rsidR="008B1F8C" w:rsidRPr="009D6962" w:rsidRDefault="008B1F8C" w:rsidP="008B1F8C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9D69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постоянно затревени площи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9" w:type="dxa"/>
            <w:shd w:val="clear" w:color="auto" w:fill="auto"/>
            <w:noWrap/>
            <w:vAlign w:val="bottom"/>
          </w:tcPr>
          <w:p w:rsidR="008B1F8C" w:rsidRDefault="008B1F8C" w:rsidP="008B1F8C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</w:tr>
    </w:tbl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before="16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E482C">
        <w:rPr>
          <w:rFonts w:ascii="Verdana" w:eastAsia="Times New Roman" w:hAnsi="Verdana" w:cs="Times New Roman"/>
          <w:sz w:val="20"/>
          <w:lang w:eastAsia="bg-BG"/>
        </w:rPr>
        <w:t>През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2024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най-висока е средната цена за наем/аренда на един декар ниви в община 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Нова Загора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- 6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лв., като спрямо 2023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тя е по-ниска с 10.</w:t>
      </w:r>
      <w:r w:rsidR="008E44AB">
        <w:rPr>
          <w:rFonts w:ascii="Verdana" w:eastAsia="Times New Roman" w:hAnsi="Verdana" w:cs="Times New Roman"/>
          <w:sz w:val="20"/>
          <w:szCs w:val="20"/>
          <w:lang w:val="en-US" w:eastAsia="bg-BG"/>
        </w:rPr>
        <w:t>4%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Намалени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 в цената на сделките с ниви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през 2024</w:t>
      </w:r>
      <w:r w:rsidRPr="00325FF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спрямо пр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едходната година е отбелязано 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и в община Сливен - 3.</w:t>
      </w:r>
      <w:r w:rsidR="008E44AB">
        <w:rPr>
          <w:rFonts w:ascii="Verdana" w:eastAsia="Times New Roman" w:hAnsi="Verdana" w:cs="Times New Roman"/>
          <w:sz w:val="20"/>
          <w:szCs w:val="20"/>
          <w:lang w:val="en-US" w:eastAsia="bg-BG"/>
        </w:rPr>
        <w:t>8</w:t>
      </w:r>
      <w:r w:rsidR="00007400">
        <w:rPr>
          <w:rFonts w:ascii="Verdana" w:eastAsia="Times New Roman" w:hAnsi="Verdana" w:cs="Times New Roman"/>
          <w:sz w:val="20"/>
          <w:szCs w:val="20"/>
          <w:lang w:eastAsia="bg-BG"/>
        </w:rPr>
        <w:t>%.</w:t>
      </w:r>
    </w:p>
    <w:p w:rsidR="00375B97" w:rsidRPr="00325FF4" w:rsidRDefault="00375B97" w:rsidP="003B57F7">
      <w:pPr>
        <w:tabs>
          <w:tab w:val="left" w:pos="1080"/>
        </w:tabs>
        <w:spacing w:before="160" w:after="16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325FF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Методологични бележки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sz w:val="20"/>
          <w:lang w:eastAsia="bg-BG"/>
        </w:rPr>
        <w:t>Наблюдението за цената на земеделската земя и рентата в селското стопанство се провежда в съответствие с изискванията на Общата методология</w:t>
      </w:r>
      <w:r w:rsidRPr="00325FF4">
        <w:rPr>
          <w:rFonts w:ascii="Verdana" w:eastAsia="Μοντέρνα" w:hAnsi="Verdana" w:cs="Times New Roman"/>
          <w:sz w:val="20"/>
          <w:vertAlign w:val="superscript"/>
          <w:lang w:eastAsia="bg-BG"/>
        </w:rPr>
        <w:footnoteReference w:id="1"/>
      </w:r>
      <w:r w:rsidRPr="00325FF4">
        <w:rPr>
          <w:rFonts w:ascii="Verdana" w:eastAsia="Times" w:hAnsi="Verdana" w:cs="Times New Roman"/>
          <w:color w:val="000000"/>
          <w:sz w:val="20"/>
          <w:lang w:eastAsia="bg-BG"/>
        </w:rPr>
        <w:t xml:space="preserve">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на Евростат, отчитайки и националните особености в развитието на пазара на земеделската земя и рентните отношения в България.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/>
          <w:bCs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Респонденти. </w:t>
      </w:r>
      <w:r w:rsidRPr="00325FF4">
        <w:rPr>
          <w:rFonts w:ascii="Verdana" w:eastAsia="Μοντέρνα" w:hAnsi="Verdana" w:cs="Times New Roman"/>
          <w:bCs/>
          <w:sz w:val="20"/>
          <w:lang w:eastAsia="bg-BG"/>
        </w:rPr>
        <w:t>Р</w:t>
      </w:r>
      <w:r w:rsidRPr="00325FF4">
        <w:rPr>
          <w:rFonts w:ascii="Verdana" w:eastAsia="Μοντέρνα" w:hAnsi="Verdana" w:cs="Times New Roman"/>
          <w:sz w:val="20"/>
          <w:szCs w:val="20"/>
          <w:lang w:eastAsia="bg-BG"/>
        </w:rPr>
        <w:t>еспондентите са подбрани от три групи икономически единици: земеделски стопанства, специализирани дружества за инвестиции в земеделска земя и агенции за недвижими имоти. За подбор на респондентите са използвани три източника: Годишен отчет на нефинансовите предприятия (със стабилна икономическа дейност „селско стопанство“), Годишен отчет на специализираните инвестиционни предприятия (инвестиции в земя) - Справка за разходите за придобиване на дълготрайни материални активи, и Годишен отчет на земеделските стопанства. Критерий за подбора на респондентите е стойността на направените разходи за придобиване на земя и за плащане на ренти. Приложен е праг, над който всички единици се наблюдават изчерпателно.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Географски обхват.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Изследването покрива цялата територия на страната.</w:t>
      </w:r>
      <w:r w:rsidRPr="00325FF4">
        <w:rPr>
          <w:rFonts w:ascii="Verdana" w:eastAsia="Times New Roman" w:hAnsi="Verdana" w:cs="Times New Roman"/>
          <w:sz w:val="20"/>
          <w:szCs w:val="20"/>
        </w:rPr>
        <w:t> </w:t>
      </w:r>
      <w:r w:rsidRPr="00325FF4">
        <w:rPr>
          <w:rFonts w:ascii="Verdana" w:eastAsia="Μοντέρνα" w:hAnsi="Verdana" w:cs="Times New Roman"/>
          <w:sz w:val="20"/>
          <w:szCs w:val="20"/>
          <w:lang w:eastAsia="bg-BG"/>
        </w:rPr>
        <w:t>Поради прилагането на праг е възможно извън неговия обхват да останат административни области, в които респондентите не отговарят на изискванията на дефинирания праг. Обикновено това са области, в които броят на сделките и наемането на земеделска земя са ограничени. Поради това данните често са определени като конфиденциални и съгласно Закона за статистиката не подлежат на разпространение.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>Наблюдаван период. Съгласно изискванията на методологията на</w:t>
      </w:r>
      <w:r w:rsidRPr="00325FF4">
        <w:rPr>
          <w:rFonts w:ascii="Verdana" w:eastAsia="Μοντέρνα" w:hAnsi="Verdana" w:cs="Times New Roman"/>
          <w:sz w:val="20"/>
          <w:lang w:eastAsia="bg-BG"/>
        </w:rPr>
        <w:t xml:space="preserve"> Евростат наблюдаваният период е календарна година. Обикновено договорите за </w:t>
      </w:r>
      <w:r w:rsidRPr="00325FF4">
        <w:rPr>
          <w:rFonts w:ascii="Verdana" w:eastAsia="Μοντέρνα" w:hAnsi="Verdana" w:cs="Times New Roman"/>
          <w:sz w:val="20"/>
          <w:lang w:eastAsia="bg-BG"/>
        </w:rPr>
        <w:lastRenderedPageBreak/>
        <w:t>наеми/аренда на земеделска земя се сключват за стопанска година. В съответствие с методологията в обхвата на изследването попадат всички действащи през календарната година договори, без значение за коя стопанска година се отнасят и кога ще бъдат извършени рентните плащания. Договорите за наем на земеделска земя са с продължителност една година, а за аренда - минимум четири години.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Категории на земята по начин на трайно използване.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Наблюдавани са цените на три категории земеделска земя, дефинирани по начина на трайното й използване: ниви, естествени ливади и мери и пасища. За осигуряване на съответствие с методологията на Евростат естествените ливади и мерите и пасищата са обединени в обща категория - постоянно затревени площи, за която е изчислена обща средна цена.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Мерна единица.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В съответствие с практиката за сключване на сделки за продажба и арендуване на земеделска земя в България данните за цените се събират в левове за един декар земя.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Цена на земеделската земя.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Съгласно методологията на Евростат събраната информация се отнася за цените на сделките и арендата на земеделска земя, която се използва единствено за селскостопанско производство, т.е. бъдещото й предназначение няма да бъде променено.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>Цената</w:t>
      </w:r>
      <w:r w:rsidRPr="00325FF4">
        <w:rPr>
          <w:rFonts w:ascii="Verdana" w:eastAsia="Μοντέρνα" w:hAnsi="Verdana" w:cs="Times New Roman"/>
          <w:sz w:val="20"/>
          <w:lang w:eastAsia="bg-BG"/>
        </w:rPr>
        <w:t xml:space="preserve"> на земеделската земя е платената от собственика на свободния пазар цена, включително платените данъци (без ДДС) и такси за един декар. В цената не са включени платените суми за право на ползване, получените от собственика парични компенсации при продажбата или придобиването на земята, стойността на сградите, построени върху земята, плащанията при наследяване и субсидиите (ако има такива).</w:t>
      </w:r>
    </w:p>
    <w:p w:rsidR="00375B97" w:rsidRPr="00325FF4" w:rsidRDefault="00375B97" w:rsidP="00375B97">
      <w:pPr>
        <w:tabs>
          <w:tab w:val="left" w:pos="77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Цена за наем/аренда на земеделска земя.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Цената на рентата на земеделската земя е изплатената в полза на собственика на земята стойност на един декар в замяна на това, че е предоставил активите си на ползвателя на земята. Цената включва и стойността на всички плащания в натура, оценени по цени на текущата година, и платените данъци и такси. Цената не включва платените суми за право на ползване, стойността на сградите или жилищата, разположени върху арендуваната земя, както и всички други разходи, свързани с други активи (текущи разходи за поддръжката на сгради, застраховки и амортизации на сгради и други).</w:t>
      </w:r>
    </w:p>
    <w:p w:rsidR="00375B97" w:rsidRPr="00325FF4" w:rsidRDefault="00375B97" w:rsidP="00375B97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>Изчисляване на средна цена</w:t>
      </w:r>
      <w:r w:rsidRPr="00325FF4">
        <w:rPr>
          <w:rFonts w:ascii="Verdana" w:eastAsia="Μοντέρνα" w:hAnsi="Verdana" w:cs="Times New Roman"/>
          <w:sz w:val="20"/>
          <w:lang w:eastAsia="bg-BG"/>
        </w:rPr>
        <w:t xml:space="preserve">. На териториално ниво „община“ (LAU2) средната цена на сделките/договорите за наем и аренда за съответната категория земеделска земя се изчислява като средна аритметична стойност от докладваните от респондентите цени. На териториалните нива „област“ (NUTS3), „статистически район“ (NUTS2), „статистическа зона“ (NUTS1) и на национално ниво (NUTS0) средната цена за съответната категория земеделска земя се изчислява като </w:t>
      </w:r>
      <w:proofErr w:type="spellStart"/>
      <w:r w:rsidRPr="00325FF4">
        <w:rPr>
          <w:rFonts w:ascii="Verdana" w:eastAsia="Μοντέρνα" w:hAnsi="Verdana" w:cs="Times New Roman"/>
          <w:sz w:val="20"/>
          <w:lang w:eastAsia="bg-BG"/>
        </w:rPr>
        <w:t>среднопретеглена</w:t>
      </w:r>
      <w:proofErr w:type="spellEnd"/>
      <w:r w:rsidRPr="00325FF4">
        <w:rPr>
          <w:rFonts w:ascii="Verdana" w:eastAsia="Μοντέρνα" w:hAnsi="Verdana" w:cs="Times New Roman"/>
          <w:sz w:val="20"/>
          <w:lang w:eastAsia="bg-BG"/>
        </w:rPr>
        <w:t xml:space="preserve"> стойност. При цените на сделките със земеделска земя за тегла се използват площите на нивите и на постоянно затревените площи, а при цените за наем/аренда - площта </w:t>
      </w:r>
      <w:r w:rsidRPr="00325FF4">
        <w:rPr>
          <w:rFonts w:ascii="Verdana" w:eastAsia="Μοντέρνα" w:hAnsi="Verdana" w:cs="Times New Roman"/>
          <w:sz w:val="20"/>
          <w:lang w:eastAsia="bg-BG"/>
        </w:rPr>
        <w:lastRenderedPageBreak/>
        <w:t>на наетата/арендуваната земеделска земя. Размерът на площите (теглата) се актуализира редовно, след като данните от последното проведено наблюдение за интегрираната статистика на земеделските стопанства в България</w:t>
      </w:r>
      <w:r w:rsidRPr="00325FF4">
        <w:rPr>
          <w:rFonts w:ascii="Verdana" w:eastAsia="Μοντέρνα" w:hAnsi="Verdana" w:cs="Times New Roman"/>
          <w:sz w:val="20"/>
          <w:vertAlign w:val="superscript"/>
          <w:lang w:eastAsia="bg-BG"/>
        </w:rPr>
        <w:footnoteReference w:id="2"/>
      </w:r>
      <w:r w:rsidRPr="00325FF4">
        <w:rPr>
          <w:rFonts w:ascii="Verdana" w:eastAsia="Μοντέρνα" w:hAnsi="Verdana" w:cs="Times New Roman"/>
          <w:sz w:val="20"/>
          <w:lang w:eastAsia="bg-BG"/>
        </w:rPr>
        <w:t xml:space="preserve"> бъдат публикувани.</w:t>
      </w:r>
    </w:p>
    <w:p w:rsidR="00375B97" w:rsidRPr="00C151F4" w:rsidRDefault="00375B97" w:rsidP="00375B97">
      <w:pPr>
        <w:tabs>
          <w:tab w:val="left" w:pos="360"/>
        </w:tabs>
        <w:spacing w:line="360" w:lineRule="auto"/>
        <w:ind w:firstLine="567"/>
        <w:jc w:val="both"/>
        <w:rPr>
          <w:rFonts w:ascii="Verdana" w:eastAsia="Times New Roman" w:hAnsi="Verdana" w:cs="Times New Roman"/>
          <w:b/>
          <w:bCs/>
          <w:spacing w:val="-10"/>
          <w:kern w:val="28"/>
          <w:sz w:val="20"/>
          <w:szCs w:val="56"/>
          <w:lang w:eastAsia="bg-BG"/>
        </w:rPr>
      </w:pPr>
      <w:r w:rsidRPr="00325FF4">
        <w:rPr>
          <w:rFonts w:ascii="Verdana" w:eastAsia="Μοντέρνα" w:hAnsi="Verdana" w:cs="Times New Roman"/>
          <w:b/>
          <w:bCs/>
          <w:sz w:val="20"/>
          <w:lang w:eastAsia="bg-BG"/>
        </w:rPr>
        <w:t xml:space="preserve">Конфиденциалност на информацията.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Конфиденциалността на информацията е гарантирана съгласно чл. 25 - чл. 27 от Закона за статистиката</w:t>
      </w:r>
      <w:r w:rsidRPr="00325FF4">
        <w:rPr>
          <w:rFonts w:ascii="Verdana" w:eastAsia="Μοντέρνα" w:hAnsi="Verdana" w:cs="Times New Roman"/>
          <w:i/>
          <w:iCs/>
          <w:sz w:val="20"/>
          <w:lang w:eastAsia="bg-BG"/>
        </w:rPr>
        <w:t>.</w:t>
      </w:r>
      <w:r w:rsidRPr="00C0725F">
        <w:rPr>
          <w:rFonts w:ascii="Verdana" w:eastAsia="Μοντέρνα" w:hAnsi="Verdana" w:cs="Times New Roman"/>
          <w:sz w:val="20"/>
          <w:lang w:eastAsia="bg-BG"/>
        </w:rPr>
        <w:t xml:space="preserve"> </w:t>
      </w:r>
      <w:r w:rsidRPr="00325FF4">
        <w:rPr>
          <w:rFonts w:ascii="Verdana" w:eastAsia="Μοντέρνα" w:hAnsi="Verdana" w:cs="Times New Roman"/>
          <w:sz w:val="20"/>
          <w:lang w:eastAsia="bg-BG"/>
        </w:rPr>
        <w:t>Повече информация и данни за Наблюдението за цената на земеделската земя и арендата в селското стопанство, могат да бъдат намерени на сайта на Н</w:t>
      </w:r>
      <w:r>
        <w:rPr>
          <w:rFonts w:ascii="Verdana" w:eastAsia="Μοντέρνα" w:hAnsi="Verdana" w:cs="Times New Roman"/>
          <w:sz w:val="20"/>
          <w:lang w:eastAsia="bg-BG"/>
        </w:rPr>
        <w:t xml:space="preserve">СИ, </w:t>
      </w:r>
      <w:hyperlink r:id="rId7" w:history="1">
        <w:r>
          <w:rPr>
            <w:rFonts w:ascii="Verdana" w:eastAsia="Μοντέρνα" w:hAnsi="Verdana" w:cs="Times New Roman"/>
            <w:color w:val="0563C1"/>
            <w:sz w:val="20"/>
            <w:u w:val="single"/>
            <w:lang w:eastAsia="bg-BG"/>
          </w:rPr>
          <w:t>раздел „Селско стопанство“</w:t>
        </w:r>
      </w:hyperlink>
      <w:r>
        <w:rPr>
          <w:rFonts w:ascii="Verdana" w:eastAsia="Μοντέρνα" w:hAnsi="Verdana" w:cs="Times New Roman"/>
          <w:sz w:val="20"/>
          <w:lang w:eastAsia="bg-BG"/>
        </w:rPr>
        <w:t xml:space="preserve">, както и в </w:t>
      </w:r>
      <w:hyperlink r:id="rId8" w:history="1">
        <w:r>
          <w:rPr>
            <w:rFonts w:ascii="Verdana" w:eastAsia="Μοντέρνα" w:hAnsi="Verdana" w:cs="Times New Roman"/>
            <w:color w:val="0563C1"/>
            <w:sz w:val="20"/>
            <w:u w:val="single"/>
            <w:lang w:eastAsia="bg-BG"/>
          </w:rPr>
          <w:t>Информационна система „ИНФОСТАТ“</w:t>
        </w:r>
      </w:hyperlink>
      <w:r w:rsidRPr="00325FF4">
        <w:rPr>
          <w:rFonts w:ascii="Verdana" w:eastAsia="Μοντέρνα" w:hAnsi="Verdana" w:cs="Times New Roman"/>
          <w:sz w:val="20"/>
          <w:lang w:eastAsia="bg-BG"/>
        </w:rPr>
        <w:t>.</w:t>
      </w:r>
    </w:p>
    <w:sectPr w:rsidR="00375B97" w:rsidRPr="00C151F4" w:rsidSect="00CD141A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50" w:rsidRDefault="00924A50" w:rsidP="00375B97">
      <w:r>
        <w:separator/>
      </w:r>
    </w:p>
  </w:endnote>
  <w:endnote w:type="continuationSeparator" w:id="0">
    <w:p w:rsidR="00924A50" w:rsidRDefault="00924A50" w:rsidP="0037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5818FA" w:rsidRDefault="00E2293C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B05A926" wp14:editId="0336FA8A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571C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362A8A" wp14:editId="0C0AE8FF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276EA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94898" wp14:editId="2882AD69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E2293C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57F7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99489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66593" w:rsidRPr="00DD11CB" w:rsidRDefault="00E2293C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B57F7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75B97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66593" w:rsidRPr="00054328" w:rsidRDefault="00E2293C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04FE5" w:rsidRDefault="00E2293C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619C1" wp14:editId="5346EAE9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E2293C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57F7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F619C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066593" w:rsidRPr="00DD11CB" w:rsidRDefault="00E2293C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B57F7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ED8C4" wp14:editId="68BEB529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863B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50" w:rsidRDefault="00924A50" w:rsidP="00375B97">
      <w:r>
        <w:separator/>
      </w:r>
    </w:p>
  </w:footnote>
  <w:footnote w:type="continuationSeparator" w:id="0">
    <w:p w:rsidR="00924A50" w:rsidRDefault="00924A50" w:rsidP="00375B97">
      <w:r>
        <w:continuationSeparator/>
      </w:r>
    </w:p>
  </w:footnote>
  <w:footnote w:id="1">
    <w:p w:rsidR="00375B97" w:rsidRPr="005F4791" w:rsidRDefault="00375B97" w:rsidP="00375B97">
      <w:pPr>
        <w:pStyle w:val="FootnoteText"/>
        <w:jc w:val="both"/>
        <w:rPr>
          <w:rFonts w:ascii="Verdana" w:hAnsi="Verdana"/>
          <w:sz w:val="16"/>
          <w:lang w:val="bg-BG" w:eastAsia="x-none"/>
        </w:rPr>
      </w:pPr>
      <w:r w:rsidRPr="003C1BB2">
        <w:rPr>
          <w:rStyle w:val="FootnoteReference"/>
          <w:rFonts w:ascii="Times New Roman" w:hAnsi="Times New Roman"/>
        </w:rPr>
        <w:footnoteRef/>
      </w:r>
      <w:r w:rsidRPr="003C1BB2">
        <w:rPr>
          <w:rFonts w:ascii="Times New Roman" w:hAnsi="Times New Roman"/>
        </w:rPr>
        <w:t xml:space="preserve"> </w:t>
      </w:r>
      <w:r w:rsidRPr="00244338">
        <w:rPr>
          <w:rFonts w:ascii="Verdana" w:hAnsi="Verdana"/>
          <w:sz w:val="16"/>
          <w:lang w:eastAsia="x-none"/>
        </w:rPr>
        <w:t xml:space="preserve">Common Methodology on Land Prices and Rents, </w:t>
      </w:r>
      <w:r w:rsidRPr="00244338">
        <w:rPr>
          <w:rFonts w:ascii="Verdana" w:hAnsi="Verdana"/>
          <w:sz w:val="16"/>
          <w:lang w:val="bg-BG" w:eastAsia="x-none"/>
        </w:rPr>
        <w:t>приета от Работната група по селскостопански сметки и цени, 15 февруари 2017 г., Евростат, Люксембург.</w:t>
      </w:r>
    </w:p>
  </w:footnote>
  <w:footnote w:id="2">
    <w:p w:rsidR="00375B97" w:rsidRPr="00A55A57" w:rsidRDefault="00375B97" w:rsidP="00375B97">
      <w:pPr>
        <w:pStyle w:val="FootnoteText"/>
        <w:jc w:val="both"/>
        <w:rPr>
          <w:rFonts w:ascii="Verdana" w:hAnsi="Verdana"/>
          <w:sz w:val="16"/>
          <w:lang w:val="en-US"/>
        </w:rPr>
      </w:pPr>
      <w:r w:rsidRPr="00007898">
        <w:rPr>
          <w:rStyle w:val="FootnoteReference"/>
          <w:rFonts w:ascii="Verdana" w:hAnsi="Verdana"/>
          <w:sz w:val="16"/>
        </w:rPr>
        <w:footnoteRef/>
      </w:r>
      <w:r w:rsidRPr="003C1BB2">
        <w:rPr>
          <w:rFonts w:ascii="Times New Roman" w:hAnsi="Times New Roman"/>
        </w:rPr>
        <w:t xml:space="preserve"> </w:t>
      </w:r>
      <w:r w:rsidRPr="00150F0E">
        <w:rPr>
          <w:rFonts w:ascii="Verdana" w:hAnsi="Verdana"/>
          <w:sz w:val="16"/>
          <w:lang w:val="bg-BG"/>
        </w:rPr>
        <w:t xml:space="preserve">Наблюденията за интегрираната статистика на земеделските стопанства в България се провеждат от Министерството на земеделието и храните. В годините, завършващи на 0, се провеждат изчерпателни наблюдения (преброявания), а в годините, завършващи на 3 и 6 (между преброяванията) - </w:t>
      </w:r>
      <w:proofErr w:type="spellStart"/>
      <w:r w:rsidRPr="00150F0E">
        <w:rPr>
          <w:rFonts w:ascii="Verdana" w:hAnsi="Verdana"/>
          <w:sz w:val="16"/>
          <w:lang w:val="bg-BG"/>
        </w:rPr>
        <w:t>извадкови</w:t>
      </w:r>
      <w:proofErr w:type="spellEnd"/>
      <w:r w:rsidRPr="00150F0E">
        <w:rPr>
          <w:rFonts w:ascii="Verdana" w:hAnsi="Verdana"/>
          <w:sz w:val="16"/>
          <w:lang w:val="bg-BG"/>
        </w:rPr>
        <w:t xml:space="preserve"> изследвания.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54328" w:rsidRDefault="00E2293C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FE7CA3" wp14:editId="70006A94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508958"/>
              <wp:effectExtent l="0" t="0" r="10160" b="571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508958"/>
                        <a:chOff x="0" y="-175564"/>
                        <a:chExt cx="6066790" cy="508958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666156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888" w:rsidRPr="00325FF4" w:rsidRDefault="00DF3888" w:rsidP="00DF3888">
                            <w:pPr>
                              <w:tabs>
                                <w:tab w:val="left" w:pos="360"/>
                              </w:tabs>
                              <w:spacing w:after="160" w:line="360" w:lineRule="auto"/>
                              <w:jc w:val="center"/>
                              <w:outlineLvl w:val="0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325FF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ЦЕНИ НА ЗЕМЕДЕЛСКАТА ЗЕМЯ И АРЕНДАТА В СЕЛСКОТО СТОПАНСТВО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В ОБЛАСТ СЛИВЕН ПРЕЗ 2024</w:t>
                            </w:r>
                            <w:r w:rsidRPr="00325FF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66593" w:rsidRPr="00101DE0" w:rsidRDefault="00924A50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FE7CA3" id="Group 7" o:spid="_x0000_s1027" style="position:absolute;margin-left:-12.3pt;margin-top:-80.95pt;width:477.7pt;height:40.1pt;z-index:251661312;mso-height-relative:margin" coordorigin=",-1755" coordsize="60667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6661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DF3888" w:rsidRPr="00325FF4" w:rsidRDefault="00DF3888" w:rsidP="00DF3888">
                      <w:pPr>
                        <w:tabs>
                          <w:tab w:val="left" w:pos="360"/>
                        </w:tabs>
                        <w:spacing w:after="160" w:line="360" w:lineRule="auto"/>
                        <w:jc w:val="center"/>
                        <w:outlineLvl w:val="0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325FF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ЦЕНИ НА ЗЕМЕДЕЛСКАТА ЗЕМЯ И АРЕНДАТА В СЕЛСКОТО СТОПАНСТВО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В ОБЛАСТ СЛИВЕН ПРЕЗ 2024</w:t>
                      </w:r>
                      <w:r w:rsidRPr="00325FF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66593" w:rsidRPr="00101DE0" w:rsidRDefault="00ED6158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9E4021" w:rsidRDefault="00E2293C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84365D8" wp14:editId="0CA6DB00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2C4612" wp14:editId="55890DC9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593" w:rsidRDefault="00E2293C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066593" w:rsidRPr="00FD731D" w:rsidRDefault="00E2293C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C461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066593" w:rsidRDefault="00E2293C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66593" w:rsidRPr="00FD731D" w:rsidRDefault="00E2293C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E2AB92" wp14:editId="63DCA175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62262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222ADFCB" wp14:editId="61D843DD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3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0B05C50" wp14:editId="48D23989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0C016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97"/>
    <w:rsid w:val="00007400"/>
    <w:rsid w:val="002322A9"/>
    <w:rsid w:val="00265ACF"/>
    <w:rsid w:val="00375B97"/>
    <w:rsid w:val="003B57F7"/>
    <w:rsid w:val="004C0445"/>
    <w:rsid w:val="005A0C0E"/>
    <w:rsid w:val="00692B73"/>
    <w:rsid w:val="00764718"/>
    <w:rsid w:val="007C69DD"/>
    <w:rsid w:val="008B1F8C"/>
    <w:rsid w:val="008E44AB"/>
    <w:rsid w:val="00924A50"/>
    <w:rsid w:val="00B14D94"/>
    <w:rsid w:val="00B40BF8"/>
    <w:rsid w:val="00C56083"/>
    <w:rsid w:val="00C932E1"/>
    <w:rsid w:val="00DD0EB0"/>
    <w:rsid w:val="00DD2E2D"/>
    <w:rsid w:val="00DF3888"/>
    <w:rsid w:val="00E2293C"/>
    <w:rsid w:val="00E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DBE132-AAD8-4CFB-93A5-9873B32F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9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5B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5B9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75B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5B97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75B97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5B9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B97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B97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iPriority w:val="99"/>
    <w:unhideWhenUsed/>
    <w:rsid w:val="00375B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1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i.bg/bg/node/112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C669-2E6A-47CF-B1D5-F7AC1FB1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dcterms:created xsi:type="dcterms:W3CDTF">2025-07-17T15:14:00Z</dcterms:created>
  <dcterms:modified xsi:type="dcterms:W3CDTF">2025-07-18T06:45:00Z</dcterms:modified>
</cp:coreProperties>
</file>