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D8" w:rsidRDefault="003404D8" w:rsidP="003404D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:rsidR="003404D8" w:rsidRDefault="003404D8" w:rsidP="003404D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4C1C9" wp14:editId="6BDB030D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4D8" w:rsidRPr="004F6479" w:rsidRDefault="003404D8" w:rsidP="003404D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3404D8" w:rsidRPr="004F6479" w:rsidRDefault="003404D8" w:rsidP="003404D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4C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3404D8" w:rsidRPr="004F6479" w:rsidRDefault="003404D8" w:rsidP="003404D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3404D8" w:rsidRPr="004F6479" w:rsidRDefault="003404D8" w:rsidP="003404D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04D8" w:rsidRDefault="003404D8" w:rsidP="003404D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3404D8" w:rsidRDefault="003404D8" w:rsidP="003404D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3404D8" w:rsidRPr="00C14799" w:rsidRDefault="003404D8" w:rsidP="003404D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3404D8" w:rsidRPr="00974177" w:rsidRDefault="003404D8" w:rsidP="003404D8">
      <w:pPr>
        <w:tabs>
          <w:tab w:val="left" w:pos="1080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ВЪВЕДЕНИ В ЕКСПЛОАТАЦИЯ НОВОПОСТРОЕНИ ЖИЛИЩНИ СГРАДИ И ЖИЛИЩА В ОБЛАСТ СЛИВЕН ПРЕЗ </w:t>
      </w:r>
      <w:r w:rsidR="00D17266">
        <w:rPr>
          <w:rFonts w:ascii="Verdana" w:eastAsia="Calibri" w:hAnsi="Verdana" w:cs="Times New Roman"/>
          <w:b/>
          <w:sz w:val="20"/>
          <w:szCs w:val="20"/>
        </w:rPr>
        <w:t>ВТОРО</w:t>
      </w: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ТО ТРИМЕСЕЧИЕ НА </w:t>
      </w:r>
      <w:r w:rsidR="00D17266">
        <w:rPr>
          <w:rFonts w:ascii="Verdana" w:eastAsia="Calibri" w:hAnsi="Verdana" w:cs="Times New Roman"/>
          <w:b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 ГОДИНА</w:t>
      </w:r>
    </w:p>
    <w:p w:rsidR="003404D8" w:rsidRPr="00974177" w:rsidRDefault="003404D8" w:rsidP="003404D8">
      <w:pPr>
        <w:tabs>
          <w:tab w:val="left" w:pos="1080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>(ПРЕДВАРИТЕЛНИ ДАННИ)</w:t>
      </w:r>
    </w:p>
    <w:p w:rsidR="003404D8" w:rsidRPr="00974177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По предварителни данни на Националния статистически институт броят на въведените в експлоатация новопостроени жилищни сгради в област Сливен през </w:t>
      </w:r>
      <w:r w:rsidR="00D17266">
        <w:rPr>
          <w:rFonts w:ascii="Verdana" w:eastAsia="Calibri" w:hAnsi="Verdana" w:cs="Times New Roman"/>
          <w:sz w:val="20"/>
          <w:szCs w:val="20"/>
        </w:rPr>
        <w:t>второ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е </w:t>
      </w:r>
      <w:r w:rsidR="00D17266">
        <w:rPr>
          <w:rFonts w:ascii="Verdana" w:eastAsia="Calibri" w:hAnsi="Verdana" w:cs="Times New Roman"/>
          <w:sz w:val="20"/>
          <w:szCs w:val="20"/>
        </w:rPr>
        <w:t>26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и спрямо съответното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</w:t>
      </w:r>
      <w:r w:rsidR="00D17266">
        <w:rPr>
          <w:rFonts w:ascii="Verdana" w:eastAsia="Calibri" w:hAnsi="Verdana" w:cs="Times New Roman"/>
          <w:sz w:val="20"/>
          <w:szCs w:val="20"/>
        </w:rPr>
        <w:t>се увеличава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 </w:t>
      </w:r>
      <w:r w:rsidR="00D17266">
        <w:rPr>
          <w:rFonts w:ascii="Verdana" w:eastAsia="Calibri" w:hAnsi="Verdana" w:cs="Times New Roman"/>
          <w:sz w:val="20"/>
          <w:szCs w:val="20"/>
        </w:rPr>
        <w:t>4.0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%. Жилищата в тях са </w:t>
      </w:r>
      <w:r w:rsidR="00D17266">
        <w:rPr>
          <w:rFonts w:ascii="Verdana" w:eastAsia="Calibri" w:hAnsi="Verdana" w:cs="Times New Roman"/>
          <w:sz w:val="20"/>
          <w:szCs w:val="20"/>
        </w:rPr>
        <w:t>30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, </w:t>
      </w:r>
      <w:r w:rsidRPr="00CF1C86">
        <w:rPr>
          <w:rFonts w:ascii="Verdana" w:eastAsia="Calibri" w:hAnsi="Verdana" w:cs="Times New Roman"/>
          <w:sz w:val="20"/>
          <w:szCs w:val="20"/>
        </w:rPr>
        <w:t xml:space="preserve">или с </w:t>
      </w:r>
      <w:r w:rsidR="00D17266">
        <w:rPr>
          <w:rFonts w:ascii="Verdana" w:eastAsia="Calibri" w:hAnsi="Verdana" w:cs="Times New Roman"/>
          <w:sz w:val="20"/>
          <w:szCs w:val="20"/>
        </w:rPr>
        <w:t>6</w:t>
      </w:r>
      <w:r w:rsidR="00FE775E">
        <w:rPr>
          <w:rFonts w:ascii="Verdana" w:eastAsia="Calibri" w:hAnsi="Verdana" w:cs="Times New Roman"/>
          <w:sz w:val="20"/>
          <w:szCs w:val="20"/>
          <w:lang w:val="en-US"/>
        </w:rPr>
        <w:t>2</w:t>
      </w:r>
      <w:r w:rsidR="00D17266">
        <w:rPr>
          <w:rFonts w:ascii="Verdana" w:eastAsia="Calibri" w:hAnsi="Verdana" w:cs="Times New Roman"/>
          <w:sz w:val="20"/>
          <w:szCs w:val="20"/>
        </w:rPr>
        <w:t>.0</w:t>
      </w:r>
      <w:r w:rsidRPr="00CF1C86">
        <w:rPr>
          <w:rFonts w:ascii="Verdana" w:eastAsia="Calibri" w:hAnsi="Verdana" w:cs="Times New Roman"/>
          <w:sz w:val="20"/>
          <w:szCs w:val="20"/>
        </w:rPr>
        <w:t>% по</w:t>
      </w:r>
      <w:r>
        <w:rPr>
          <w:rFonts w:ascii="Verdana" w:eastAsia="Calibri" w:hAnsi="Verdana" w:cs="Times New Roman"/>
          <w:sz w:val="20"/>
          <w:szCs w:val="20"/>
        </w:rPr>
        <w:t>-малко</w:t>
      </w:r>
      <w:r w:rsidRPr="00CF1C86">
        <w:rPr>
          <w:rFonts w:ascii="Verdana" w:eastAsia="Calibri" w:hAnsi="Verdana" w:cs="Times New Roman"/>
          <w:sz w:val="20"/>
          <w:szCs w:val="20"/>
        </w:rPr>
        <w:t xml:space="preserve"> 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спрямо съответното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година. Спрямо предходното тримесечие броят на въведените в експлоатация новопостроени жилищни сгради </w:t>
      </w:r>
      <w:r w:rsidR="00431717">
        <w:rPr>
          <w:rFonts w:ascii="Verdana" w:eastAsia="Calibri" w:hAnsi="Verdana" w:cs="Times New Roman"/>
          <w:sz w:val="20"/>
          <w:szCs w:val="20"/>
        </w:rPr>
        <w:t>се увеличава с 18.2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%, а жилищата в тях - </w:t>
      </w:r>
      <w:r w:rsidR="00431717">
        <w:rPr>
          <w:rFonts w:ascii="Verdana" w:eastAsia="Calibri" w:hAnsi="Verdana" w:cs="Times New Roman"/>
          <w:sz w:val="20"/>
          <w:szCs w:val="20"/>
        </w:rPr>
        <w:t>с 11.1</w:t>
      </w:r>
      <w:r w:rsidRPr="00974177">
        <w:rPr>
          <w:rFonts w:ascii="Verdana" w:eastAsia="Calibri" w:hAnsi="Verdana" w:cs="Times New Roman"/>
          <w:sz w:val="20"/>
          <w:szCs w:val="20"/>
        </w:rPr>
        <w:t>%.</w:t>
      </w:r>
    </w:p>
    <w:p w:rsidR="003404D8" w:rsidRPr="00974177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>Общата полезна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всички новопостроени жилища в областта през </w:t>
      </w:r>
      <w:r w:rsidR="00D17266">
        <w:rPr>
          <w:rFonts w:ascii="Verdana" w:eastAsia="Calibri" w:hAnsi="Verdana" w:cs="Times New Roman"/>
          <w:sz w:val="20"/>
          <w:szCs w:val="20"/>
        </w:rPr>
        <w:t>второ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е </w:t>
      </w:r>
      <w:r w:rsidR="00431717">
        <w:rPr>
          <w:rFonts w:ascii="Verdana" w:eastAsia="Calibri" w:hAnsi="Verdana" w:cs="Times New Roman"/>
          <w:sz w:val="20"/>
          <w:szCs w:val="20"/>
        </w:rPr>
        <w:t>3</w:t>
      </w:r>
      <w:r w:rsidR="00431717" w:rsidRPr="005C152B">
        <w:rPr>
          <w:rFonts w:ascii="Verdana" w:eastAsia="Calibri" w:hAnsi="Verdana" w:cs="Times New Roman"/>
          <w:sz w:val="20"/>
          <w:szCs w:val="20"/>
        </w:rPr>
        <w:t> </w:t>
      </w:r>
      <w:r w:rsidR="00431717">
        <w:rPr>
          <w:rFonts w:ascii="Verdana" w:eastAsia="Calibri" w:hAnsi="Verdana" w:cs="Times New Roman"/>
          <w:sz w:val="20"/>
          <w:szCs w:val="20"/>
        </w:rPr>
        <w:t>784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м, или с </w:t>
      </w:r>
      <w:r w:rsidR="00431717">
        <w:rPr>
          <w:rFonts w:ascii="Verdana" w:eastAsia="Calibri" w:hAnsi="Verdana" w:cs="Times New Roman"/>
          <w:sz w:val="20"/>
          <w:szCs w:val="20"/>
        </w:rPr>
        <w:t>47.8</w:t>
      </w:r>
      <w:r>
        <w:rPr>
          <w:rFonts w:ascii="Verdana" w:eastAsia="Calibri" w:hAnsi="Verdana" w:cs="Times New Roman"/>
          <w:sz w:val="20"/>
          <w:szCs w:val="20"/>
        </w:rPr>
        <w:t xml:space="preserve">% по-малко 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в сравнение със същото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година.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Жилищната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също бележи </w:t>
      </w:r>
      <w:r>
        <w:rPr>
          <w:rFonts w:ascii="Verdana" w:eastAsia="Calibri" w:hAnsi="Verdana" w:cs="Times New Roman"/>
          <w:sz w:val="20"/>
          <w:szCs w:val="20"/>
        </w:rPr>
        <w:t>спад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(с </w:t>
      </w:r>
      <w:r w:rsidR="00431717">
        <w:rPr>
          <w:rFonts w:ascii="Verdana" w:eastAsia="Calibri" w:hAnsi="Verdana" w:cs="Times New Roman"/>
          <w:sz w:val="20"/>
          <w:szCs w:val="20"/>
        </w:rPr>
        <w:t>52.8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%) и достига </w:t>
      </w:r>
      <w:r w:rsidR="00431717">
        <w:rPr>
          <w:rFonts w:ascii="Verdana" w:eastAsia="Calibri" w:hAnsi="Verdana" w:cs="Times New Roman"/>
          <w:sz w:val="20"/>
          <w:szCs w:val="20"/>
        </w:rPr>
        <w:t>2</w:t>
      </w:r>
      <w:r w:rsidR="00431717" w:rsidRPr="005C152B">
        <w:rPr>
          <w:rFonts w:ascii="Verdana" w:eastAsia="Calibri" w:hAnsi="Verdana" w:cs="Times New Roman"/>
          <w:sz w:val="20"/>
          <w:szCs w:val="20"/>
        </w:rPr>
        <w:t> </w:t>
      </w:r>
      <w:r w:rsidR="00431717">
        <w:rPr>
          <w:rFonts w:ascii="Verdana" w:eastAsia="Calibri" w:hAnsi="Verdana" w:cs="Times New Roman"/>
          <w:sz w:val="20"/>
          <w:szCs w:val="20"/>
        </w:rPr>
        <w:t>438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</w:t>
      </w:r>
    </w:p>
    <w:p w:rsidR="003404D8" w:rsidRPr="00974177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Спрямо предходното тримесечие е регистрирано </w:t>
      </w:r>
      <w:r w:rsidR="00431717">
        <w:rPr>
          <w:rFonts w:ascii="Verdana" w:eastAsia="Calibri" w:hAnsi="Verdana" w:cs="Times New Roman"/>
          <w:sz w:val="20"/>
          <w:szCs w:val="20"/>
        </w:rPr>
        <w:t>увеличение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общата полезна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 </w:t>
      </w:r>
      <w:r w:rsidR="00431717">
        <w:rPr>
          <w:rFonts w:ascii="Verdana" w:eastAsia="Calibri" w:hAnsi="Verdana" w:cs="Times New Roman"/>
          <w:sz w:val="20"/>
          <w:szCs w:val="20"/>
        </w:rPr>
        <w:t>14.1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%, а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жилищната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всички новопостроени жилища в област Сливен е </w:t>
      </w:r>
      <w:r w:rsidR="00431717">
        <w:rPr>
          <w:rFonts w:ascii="Verdana" w:eastAsia="Calibri" w:hAnsi="Verdana" w:cs="Times New Roman"/>
          <w:sz w:val="20"/>
          <w:szCs w:val="20"/>
        </w:rPr>
        <w:t>повече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431717">
        <w:rPr>
          <w:rFonts w:ascii="Verdana" w:eastAsia="Calibri" w:hAnsi="Verdana" w:cs="Times New Roman"/>
          <w:sz w:val="20"/>
          <w:szCs w:val="20"/>
        </w:rPr>
        <w:t>3.0</w:t>
      </w:r>
      <w:r w:rsidRPr="00974177">
        <w:rPr>
          <w:rFonts w:ascii="Verdana" w:eastAsia="Calibri" w:hAnsi="Verdana" w:cs="Times New Roman"/>
          <w:sz w:val="20"/>
          <w:szCs w:val="20"/>
        </w:rPr>
        <w:t>%.</w:t>
      </w:r>
    </w:p>
    <w:p w:rsidR="003404D8" w:rsidRPr="00974177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Средната </w:t>
      </w:r>
      <w:r w:rsidR="00431717">
        <w:rPr>
          <w:rFonts w:ascii="Verdana" w:eastAsia="Calibri" w:hAnsi="Verdana" w:cs="Times New Roman"/>
          <w:sz w:val="20"/>
          <w:szCs w:val="20"/>
        </w:rPr>
        <w:t>жилищна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площ на едно новопостроено жилище през </w:t>
      </w:r>
      <w:r w:rsidR="00D17266">
        <w:rPr>
          <w:rFonts w:ascii="Verdana" w:eastAsia="Calibri" w:hAnsi="Verdana" w:cs="Times New Roman"/>
          <w:sz w:val="20"/>
          <w:szCs w:val="20"/>
        </w:rPr>
        <w:t>второ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в областта е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431717">
        <w:rPr>
          <w:rFonts w:ascii="Verdana" w:eastAsia="Calibri" w:hAnsi="Verdana" w:cs="Times New Roman"/>
          <w:sz w:val="20"/>
          <w:szCs w:val="20"/>
        </w:rPr>
        <w:t>81.3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 Спрямо съответното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 средната полезна площ </w:t>
      </w:r>
      <w:r>
        <w:rPr>
          <w:rFonts w:ascii="Verdana" w:eastAsia="Calibri" w:hAnsi="Verdana" w:cs="Times New Roman"/>
          <w:sz w:val="20"/>
          <w:szCs w:val="20"/>
        </w:rPr>
        <w:t>се е увеличила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 </w:t>
      </w:r>
      <w:r w:rsidR="00431717">
        <w:rPr>
          <w:rFonts w:ascii="Verdana" w:eastAsia="Calibri" w:hAnsi="Verdana" w:cs="Times New Roman"/>
          <w:sz w:val="20"/>
          <w:szCs w:val="20"/>
        </w:rPr>
        <w:t>15.9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м., а спрямо предходното тримесечие </w:t>
      </w:r>
      <w:r w:rsidR="00431717">
        <w:rPr>
          <w:rFonts w:ascii="Verdana" w:eastAsia="Calibri" w:hAnsi="Verdana" w:cs="Times New Roman"/>
          <w:sz w:val="20"/>
          <w:szCs w:val="20"/>
        </w:rPr>
        <w:t>е намаляла с 6.4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</w:t>
      </w:r>
    </w:p>
    <w:p w:rsidR="003404D8" w:rsidRPr="00974177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>Преобладаващата част от в</w:t>
      </w:r>
      <w:r>
        <w:rPr>
          <w:rFonts w:ascii="Verdana" w:eastAsia="Calibri" w:hAnsi="Verdana" w:cs="Times New Roman"/>
          <w:sz w:val="20"/>
          <w:szCs w:val="20"/>
        </w:rPr>
        <w:t>сички новопостроени жилища (7</w:t>
      </w:r>
      <w:r w:rsidR="00431717">
        <w:rPr>
          <w:rFonts w:ascii="Verdana" w:eastAsia="Calibri" w:hAnsi="Verdana" w:cs="Times New Roman"/>
          <w:sz w:val="20"/>
          <w:szCs w:val="20"/>
        </w:rPr>
        <w:t>0</w:t>
      </w:r>
      <w:r>
        <w:rPr>
          <w:rFonts w:ascii="Verdana" w:eastAsia="Calibri" w:hAnsi="Verdana" w:cs="Times New Roman"/>
          <w:sz w:val="20"/>
          <w:szCs w:val="20"/>
        </w:rPr>
        <w:t>.0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%) през </w:t>
      </w:r>
      <w:r w:rsidR="00D17266">
        <w:rPr>
          <w:rFonts w:ascii="Verdana" w:eastAsia="Calibri" w:hAnsi="Verdana" w:cs="Times New Roman"/>
          <w:sz w:val="20"/>
          <w:szCs w:val="20"/>
        </w:rPr>
        <w:t>второ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D17266"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са</w:t>
      </w:r>
      <w:r w:rsidR="00431717">
        <w:rPr>
          <w:rFonts w:ascii="Verdana" w:eastAsia="Calibri" w:hAnsi="Verdana" w:cs="Times New Roman"/>
          <w:sz w:val="20"/>
          <w:szCs w:val="20"/>
        </w:rPr>
        <w:t xml:space="preserve"> тристайни и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четири</w:t>
      </w:r>
      <w:r w:rsidRPr="00974177">
        <w:rPr>
          <w:rFonts w:ascii="Verdana" w:eastAsia="Calibri" w:hAnsi="Verdana" w:cs="Times New Roman"/>
          <w:sz w:val="20"/>
          <w:szCs w:val="20"/>
        </w:rPr>
        <w:t>стайни.</w:t>
      </w:r>
    </w:p>
    <w:p w:rsidR="003404D8" w:rsidRDefault="003404D8" w:rsidP="003404D8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Според конструкцията на външните стени на сградата </w:t>
      </w:r>
      <w:r w:rsidR="00431717">
        <w:rPr>
          <w:rFonts w:ascii="Verdana" w:eastAsia="Calibri" w:hAnsi="Verdana" w:cs="Times New Roman"/>
          <w:sz w:val="20"/>
          <w:szCs w:val="20"/>
        </w:rPr>
        <w:t>88.5</w:t>
      </w:r>
      <w:r w:rsidRPr="00974177">
        <w:rPr>
          <w:rFonts w:ascii="Verdana" w:eastAsia="Calibri" w:hAnsi="Verdana" w:cs="Times New Roman"/>
          <w:sz w:val="20"/>
          <w:szCs w:val="20"/>
        </w:rPr>
        <w:t>% от новопостроените жилищни сгради са тухлени.</w:t>
      </w:r>
    </w:p>
    <w:p w:rsidR="003404D8" w:rsidRDefault="003404D8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 w:type="page"/>
      </w:r>
    </w:p>
    <w:p w:rsidR="003404D8" w:rsidRPr="000814BC" w:rsidRDefault="003404D8" w:rsidP="009D5A86">
      <w:pPr>
        <w:tabs>
          <w:tab w:val="left" w:pos="3123"/>
        </w:tabs>
        <w:spacing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0814BC">
        <w:rPr>
          <w:rFonts w:ascii="Verdana" w:eastAsia="Calibri" w:hAnsi="Verdana" w:cs="Times New Roman"/>
          <w:b/>
          <w:sz w:val="20"/>
          <w:szCs w:val="20"/>
        </w:rPr>
        <w:lastRenderedPageBreak/>
        <w:t>Методологични бележки</w:t>
      </w:r>
    </w:p>
    <w:p w:rsidR="003404D8" w:rsidRPr="003404D8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Статистическите данни за новопостроените жилищни сгради и жилища са разработени на базата на тримесечна информация, получавана от общинските администрации.</w:t>
      </w:r>
    </w:p>
    <w:p w:rsidR="003404D8" w:rsidRPr="003404D8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 обхвата на наблюдението се включват новопостроените жилищни сгради с одобрен приемателен протокол образец 16 или издадено разрешение за ползване съгласно Наредба № 2/31.07.2003 г. на Министерството на регионалното развитие и благоустройството.</w:t>
      </w:r>
    </w:p>
    <w:p w:rsidR="003404D8" w:rsidRPr="003404D8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 началото на 2025 г. като източник на информация за полезната площ, служи общата площ на жилищата в сградата. До края на </w:t>
      </w:r>
      <w:r w:rsidR="00D17266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 w:rsidR="00FE775E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</w:t>
      </w: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полезната площ на жилищата се получава като сума от жилищната и спомагателната площ.</w:t>
      </w:r>
    </w:p>
    <w:p w:rsidR="003404D8" w:rsidRPr="003404D8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Жилищната площ включва площта на стаите и кухните с площ 4 и повече квадратни метра.</w:t>
      </w:r>
    </w:p>
    <w:p w:rsidR="003404D8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Средната жилищна площ на жилището е отношение на жилищната площ към броя на жилищата.</w:t>
      </w:r>
    </w:p>
    <w:p w:rsidR="003404D8" w:rsidRPr="00410C72" w:rsidRDefault="003404D8" w:rsidP="003404D8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Повече информация и данни за въведените в експлоатация новопостроени жилищни сгради и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жилища са достъпни в Информационна система „ИНФОСТАТ“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(</w:t>
      </w:r>
      <w:hyperlink r:id="rId7" w:history="1">
        <w:r w:rsidRPr="00410C72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https://infostat.nsi.bg/infostat/pages/module.jsf?x_2=152</w:t>
        </w:r>
      </w:hyperlink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) и на сайта на НСИ, раздел „Краткосрочна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статистика на жилищните сгради“ (</w:t>
      </w:r>
      <w:hyperlink r:id="rId8" w:history="1">
        <w:r w:rsidRPr="00410C72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http://www.nsi.bg/node/3087/</w:t>
        </w:r>
      </w:hyperlink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).</w:t>
      </w:r>
    </w:p>
    <w:sectPr w:rsidR="003404D8" w:rsidRPr="00410C72" w:rsidSect="00B073D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41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0A" w:rsidRDefault="00E3570A">
      <w:r>
        <w:separator/>
      </w:r>
    </w:p>
  </w:endnote>
  <w:endnote w:type="continuationSeparator" w:id="0">
    <w:p w:rsidR="00E3570A" w:rsidRDefault="00E3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431717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83E4C67" wp14:editId="3905EBC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F7FBB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32FB66" wp14:editId="45E3442F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E090A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BB8788" wp14:editId="474B38AF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431717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5A86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BB878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431717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D5A86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 w:rsidR="00A55A8D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431717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431717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1493B" wp14:editId="75835271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431717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5A86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1493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431717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D5A86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EBC8D" wp14:editId="4C943EAB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E9783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0A" w:rsidRDefault="00E3570A">
      <w:r>
        <w:separator/>
      </w:r>
    </w:p>
  </w:footnote>
  <w:footnote w:type="continuationSeparator" w:id="0">
    <w:p w:rsidR="00E3570A" w:rsidRDefault="00E3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431717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5DB495" wp14:editId="5CE56AC7">
              <wp:simplePos x="0" y="0"/>
              <wp:positionH relativeFrom="column">
                <wp:posOffset>-165735</wp:posOffset>
              </wp:positionH>
              <wp:positionV relativeFrom="paragraph">
                <wp:posOffset>-1028065</wp:posOffset>
              </wp:positionV>
              <wp:extent cx="6076315" cy="800099"/>
              <wp:effectExtent l="0" t="0" r="19685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315" cy="800099"/>
                        <a:chOff x="-9525" y="-175564"/>
                        <a:chExt cx="6076315" cy="528940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9525" y="-175564"/>
                          <a:ext cx="5895975" cy="52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D4" w:rsidRPr="00B073D4" w:rsidRDefault="00431717" w:rsidP="00B073D4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ВЪВЕДЕНИ В ЕКСПЛОАТАЦИЯ НОВОПОСТРОЕНИ ЖИЛИЩНИ СГРАДИ И ЖИЛИЩА В ОБЛАСТ СЛИВЕН ПРЕЗ </w:t>
                            </w:r>
                            <w:r w:rsidR="00D17266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ВТОРО</w:t>
                            </w: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ТО ТРИМЕСЕЧИЕ НА </w:t>
                            </w:r>
                            <w:r w:rsidR="00D17266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ГОДИНА</w:t>
                            </w:r>
                          </w:p>
                          <w:p w:rsidR="009E6385" w:rsidRDefault="00A55A8D" w:rsidP="009E6385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74177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  <w:t>(ПРЕДВАРИТЕЛНИ ДАННИ)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5DB495" id="Group 7" o:spid="_x0000_s1027" style="position:absolute;margin-left:-13.05pt;margin-top:-80.95pt;width:478.45pt;height:63pt;z-index:251661312;mso-width-relative:margin;mso-height-relative:margin" coordorigin="-95,-1755" coordsize="60763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95;top:-1755;width:58959;height:5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B073D4" w:rsidRPr="00B073D4" w:rsidRDefault="00431717" w:rsidP="00B073D4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ВЪВЕДЕНИ В ЕКСПЛОАТАЦИЯ НОВОПОСТРОЕНИ ЖИЛИЩНИ СГРАДИ И ЖИЛИЩА В ОБЛАСТ СЛИВЕН ПРЕЗ </w:t>
                      </w:r>
                      <w:r w:rsidR="00D17266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>ВТОРО</w:t>
                      </w: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ТО ТРИМЕСЕЧИЕ НА </w:t>
                      </w:r>
                      <w:r w:rsidR="00D17266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 ГОДИНА</w:t>
                      </w:r>
                    </w:p>
                    <w:p w:rsidR="009E6385" w:rsidRDefault="00A55A8D" w:rsidP="009E6385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</w:pPr>
                      <w:r w:rsidRPr="00974177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  <w:t>(ПРЕДВАРИТЕЛНИ ДАННИ)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431717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2BCA67F8" wp14:editId="0F035922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33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7F1E22" wp14:editId="3DB3BB58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431717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431717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F1E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431717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431717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6F344" wp14:editId="784F3870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ACF6E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2351E7F" wp14:editId="1ADFA0B7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3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0255743" wp14:editId="03916376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840E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D8"/>
    <w:rsid w:val="00265ACF"/>
    <w:rsid w:val="003404D8"/>
    <w:rsid w:val="00431717"/>
    <w:rsid w:val="008E4BA5"/>
    <w:rsid w:val="009D5A86"/>
    <w:rsid w:val="00A55A8D"/>
    <w:rsid w:val="00B40BF8"/>
    <w:rsid w:val="00C56083"/>
    <w:rsid w:val="00D17266"/>
    <w:rsid w:val="00E3570A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D76F77-A116-4C52-A576-46C73306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4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4D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4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D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404D8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404D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04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/node/308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stat.nsi.bg/infostat/pages/module.jsf?x_2=15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FF4B-B2BA-488C-8261-AE423A3D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dcterms:created xsi:type="dcterms:W3CDTF">2025-08-08T16:21:00Z</dcterms:created>
  <dcterms:modified xsi:type="dcterms:W3CDTF">2025-08-14T07:34:00Z</dcterms:modified>
</cp:coreProperties>
</file>