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2" w:rsidRDefault="00F81EA2" w:rsidP="00F81EA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1EA2" w:rsidRDefault="00F81EA2" w:rsidP="00F81EA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1EA2" w:rsidRDefault="00F81EA2" w:rsidP="00F81EA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1EA2" w:rsidRDefault="00F81EA2" w:rsidP="00F81EA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6BE83" wp14:editId="5B577A89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A2" w:rsidRPr="004F6479" w:rsidRDefault="00F81EA2" w:rsidP="00F81EA2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F81EA2" w:rsidRPr="004F6479" w:rsidRDefault="00F81EA2" w:rsidP="00F81EA2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6B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F81EA2" w:rsidRPr="004F6479" w:rsidRDefault="00F81EA2" w:rsidP="00F81EA2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F81EA2" w:rsidRPr="004F6479" w:rsidRDefault="00F81EA2" w:rsidP="00F81EA2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1EA2" w:rsidRDefault="00F81EA2" w:rsidP="00F81EA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1EA2" w:rsidRDefault="00F81EA2" w:rsidP="00F81EA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F81EA2" w:rsidRPr="00F202F2" w:rsidRDefault="00F81EA2" w:rsidP="00F81E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F81EA2" w:rsidRPr="00F202F2" w:rsidRDefault="00F81EA2" w:rsidP="00F81E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 е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62.5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34.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мъже, а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28.2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на 15 и повече навършени години в областта 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45.7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(при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53.2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страната). Той е съответно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52.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.3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жените. По коефициент на заетост област Сливен 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двадесет и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място в страната.</w:t>
      </w:r>
    </w:p>
    <w:p w:rsidR="00F81EA2" w:rsidRPr="00F202F2" w:rsidRDefault="00F81EA2" w:rsidP="00F81E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първото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в област Сливен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увеличава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.0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2024 намалява с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12.1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F81EA2" w:rsidRPr="00F202F2" w:rsidRDefault="00F81EA2" w:rsidP="00F81EA2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Коефициенти на заетост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 тримесечия в област Сливен</w:t>
      </w:r>
    </w:p>
    <w:p w:rsidR="00F81EA2" w:rsidRPr="00161778" w:rsidRDefault="0010768F" w:rsidP="00F81EA2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noProof/>
          <w:lang w:eastAsia="bg-BG"/>
        </w:rPr>
        <w:drawing>
          <wp:inline distT="0" distB="0" distL="0" distR="0" wp14:anchorId="41A52476" wp14:editId="509E1290">
            <wp:extent cx="4572000" cy="23812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1EA2" w:rsidRPr="00F202F2" w:rsidRDefault="00F81EA2" w:rsidP="00F81EA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заетите лица на възраст 15 - 64 навършени години са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59.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като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32.2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от тях са мъже, а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27.5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 Коефициентът на заетост за населението в същата възраст</w:t>
      </w:r>
      <w:bookmarkStart w:id="0" w:name="_GoBack"/>
      <w:bookmarkEnd w:id="0"/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ова група е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60.6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съответно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64.4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мъжете и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56.7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 за жените.</w:t>
      </w:r>
    </w:p>
    <w:p w:rsidR="00F81EA2" w:rsidRDefault="00F81EA2" w:rsidP="00F81E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сравнение с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първото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</w:t>
      </w:r>
      <w:r w:rsidR="00161778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заетите лица на възраст 15-64 навършени годи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ни в областта се увеличава с 0.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а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то тримесечие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534BA3">
        <w:rPr>
          <w:rFonts w:ascii="Verdana" w:eastAsia="Μοντέρνα" w:hAnsi="Verdana" w:cs="Times New Roman"/>
          <w:sz w:val="20"/>
          <w:szCs w:val="20"/>
          <w:lang w:eastAsia="bg-BG"/>
        </w:rPr>
        <w:t>12.7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:rsidR="00F81EA2" w:rsidRPr="00F202F2" w:rsidRDefault="00F81EA2" w:rsidP="00F81E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lastRenderedPageBreak/>
        <w:t>Методологични бележки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възраст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15 и повече навършени години. То обхваща обикновените домакинства в страната. </w:t>
      </w:r>
      <w:r w:rsidRPr="00F202F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Домакинствата, участващи в и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зследването, са избрани на случаен принцип и се анкетират чрез лично интервю.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седмица</w:t>
      </w:r>
      <w:r>
        <w:rPr>
          <w:rFonts w:ascii="Verdana" w:eastAsia="Μοντέρνα" w:hAnsi="Verdana" w:cs="Times New Roman"/>
          <w:bCs/>
          <w:noProof/>
          <w:sz w:val="20"/>
          <w:szCs w:val="20"/>
          <w:lang w:val="en-US" w:eastAsia="bg-BG"/>
        </w:rPr>
        <w:t xml:space="preserve"> </w:t>
      </w:r>
      <w:r>
        <w:rPr>
          <w:rFonts w:ascii="Verdana" w:hAnsi="Verdana"/>
          <w:sz w:val="20"/>
          <w:szCs w:val="20"/>
        </w:rPr>
        <w:t>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. 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Заети 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са лицата на 15 - 89 навършени години, които през наблюдавания период: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F202F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заетите лица от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общото население (в съответната група).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оценката на резултатите за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използвани предварителни данни за населението на страната към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31.12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година. Изключено е населението, живеещо в колективни домакинства. 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Както при всяко извадково наблюдение, данните от Наблюдението на работната сила са обременени с грешки, дължащи се на извадката (стохастични грешки).</w:t>
      </w:r>
    </w:p>
    <w:p w:rsidR="00F81EA2" w:rsidRPr="00F202F2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:rsidR="00F81EA2" w:rsidRPr="00B432B7" w:rsidRDefault="00F81EA2" w:rsidP="00F81EA2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По-подробни данни от Наблюдението на работната сила за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второ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>то тримесечие на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могат да се намерят на сайта на НСИ - </w:t>
      </w:r>
      <w:hyperlink r:id="rId5" w:history="1">
        <w:r w:rsidRPr="00AA772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раздел </w:t>
      </w:r>
      <w:r w:rsidRPr="003F2498">
        <w:rPr>
          <w:rFonts w:ascii="Verdana" w:eastAsia="Μοντέρνα" w:hAnsi="Verdana" w:cs="Times New Roman"/>
          <w:color w:val="0070C0"/>
          <w:sz w:val="20"/>
          <w:szCs w:val="20"/>
          <w:u w:val="single"/>
          <w:lang w:eastAsia="bg-BG"/>
        </w:rPr>
        <w:t>„Пазар на труда“</w:t>
      </w:r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hyperlink r:id="rId6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Наблюдение на работната сила</w:t>
        </w:r>
      </w:hyperlink>
      <w:r w:rsidRPr="00B432B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в </w:t>
      </w:r>
      <w:hyperlink r:id="rId7" w:history="1">
        <w:r w:rsidRPr="00F930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Информационна система ИНФОСТАТ</w:t>
        </w:r>
      </w:hyperlink>
      <w:r w:rsidRPr="00F930D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/>
    <w:sectPr w:rsidR="00265ACF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161778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8E52D8C" wp14:editId="4B11381D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D37B6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A28BB8" wp14:editId="6CD7143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E47E4D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F8449" wp14:editId="43F29333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61778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768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2F844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61778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0768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161778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61778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8F9B7" wp14:editId="0F60B195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6177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08F9B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6177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895B47" wp14:editId="2F7F6479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9A0AC6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61778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C6F716" wp14:editId="2201C4BC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C7" w:rsidRPr="00F202F2" w:rsidRDefault="00161778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ОСНОВНИ РЕЗУЛТАТИ ОТ НАБЛЮДЕНИЕТО НА РАБОТНАТА СИЛА</w:t>
                            </w:r>
                          </w:p>
                          <w:p w:rsidR="00C278C7" w:rsidRPr="00F202F2" w:rsidRDefault="00161778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В ОБЛАСТ СЛИВЕН ПРЕЗ </w:t>
                            </w:r>
                            <w:r w:rsidR="00F81EA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ВТОРО</w:t>
                            </w: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ТО ТРИМЕСЕЧИЕ НА 202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5</w:t>
                            </w: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ГОДИНА</w:t>
                            </w:r>
                          </w:p>
                          <w:p w:rsidR="00054328" w:rsidRPr="00101DE0" w:rsidRDefault="00161778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C6F716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278C7" w:rsidRPr="00F202F2" w:rsidRDefault="00161778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ОСНОВНИ РЕЗУЛТАТИ ОТ НАБЛЮДЕНИЕТО НА РАБОТНАТА СИЛА</w:t>
                      </w:r>
                    </w:p>
                    <w:p w:rsidR="00C278C7" w:rsidRPr="00F202F2" w:rsidRDefault="00161778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="00F81EA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ВТОРО</w:t>
                      </w: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ТО ТРИМЕСЕЧИЕ НА 202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5</w:t>
                      </w: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ГОДИНА</w:t>
                      </w:r>
                    </w:p>
                    <w:p w:rsidR="00054328" w:rsidRPr="00101DE0" w:rsidRDefault="00161778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61778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4C05EB96" wp14:editId="1A2BAE17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C25E9B" wp14:editId="73B42743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161778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161778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25E9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161778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161778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533611" wp14:editId="504E0669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6DF02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5C58DAFC" wp14:editId="57D5E484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3AC762B" wp14:editId="4A3E1DC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C80F1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2"/>
    <w:rsid w:val="0010768F"/>
    <w:rsid w:val="00161778"/>
    <w:rsid w:val="00265ACF"/>
    <w:rsid w:val="00534BA3"/>
    <w:rsid w:val="00B40BF8"/>
    <w:rsid w:val="00C56083"/>
    <w:rsid w:val="00F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C14A6"/>
  <w15:chartTrackingRefBased/>
  <w15:docId w15:val="{F5BD2B58-DBB5-44C7-954B-642579B6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A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E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EA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1E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EA2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1EA2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1EA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stat.nsi.bg/infostat/pages/module.jsf?x_2=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1" Type="http://schemas.openxmlformats.org/officeDocument/2006/relationships/footer" Target="footer2.xml"/><Relationship Id="rId5" Type="http://schemas.openxmlformats.org/officeDocument/2006/relationships/hyperlink" Target="https://www.nsi.bg/bg" TargetMode="External"/><Relationship Id="rId10" Type="http://schemas.openxmlformats.org/officeDocument/2006/relationships/header" Target="header2.xml"/><Relationship Id="rId4" Type="http://schemas.openxmlformats.org/officeDocument/2006/relationships/chart" Target="charts/chart1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Rabotna_sila\Rab_sila_2025\rab_sila_2025_trimesechn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5223097112866E-2"/>
          <c:y val="0.10087719298245613"/>
          <c:w val="0.89997922134733155"/>
          <c:h val="0.6952666114104159"/>
        </c:manualLayout>
      </c:layout>
      <c:lineChart>
        <c:grouping val="standard"/>
        <c:varyColors val="0"/>
        <c:ser>
          <c:idx val="0"/>
          <c:order val="0"/>
          <c:tx>
            <c:strRef>
              <c:f>'graf II 2025'!$B$2</c:f>
              <c:strCache>
                <c:ptCount val="1"/>
                <c:pt idx="0">
                  <c:v>15 и повече навършени години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dLbl>
              <c:idx val="2"/>
              <c:layout>
                <c:manualLayout>
                  <c:x val="-4.791666666666667E-2"/>
                  <c:y val="7.167235494880545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2E-4DF8-A88C-832ED300E08C}"/>
                </c:ext>
              </c:extLst>
            </c:dLbl>
            <c:spPr>
              <a:noFill/>
              <a:ln w="25400">
                <a:noFill/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II 2025'!$A$3:$A$7</c:f>
              <c:strCache>
                <c:ptCount val="5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I.2025</c:v>
                </c:pt>
                <c:pt idx="4">
                  <c:v>II.2025</c:v>
                </c:pt>
              </c:strCache>
            </c:strRef>
          </c:cat>
          <c:val>
            <c:numRef>
              <c:f>'graf II 2025'!$B$3:$B$7</c:f>
              <c:numCache>
                <c:formatCode>General</c:formatCode>
                <c:ptCount val="5"/>
                <c:pt idx="0" formatCode="0.0">
                  <c:v>51.8</c:v>
                </c:pt>
                <c:pt idx="1">
                  <c:v>49.8</c:v>
                </c:pt>
                <c:pt idx="2">
                  <c:v>43.9</c:v>
                </c:pt>
                <c:pt idx="3" formatCode="0.0">
                  <c:v>44.4</c:v>
                </c:pt>
                <c:pt idx="4" formatCode="0.0">
                  <c:v>45.7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2E-4DF8-A88C-832ED300E08C}"/>
            </c:ext>
          </c:extLst>
        </c:ser>
        <c:ser>
          <c:idx val="1"/>
          <c:order val="1"/>
          <c:tx>
            <c:strRef>
              <c:f>'graf II 2025'!$C$2</c:f>
              <c:strCache>
                <c:ptCount val="1"/>
                <c:pt idx="0">
                  <c:v>15 - 64 навършени години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7916666666666691E-2"/>
                  <c:y val="-7.622298065984073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2E-4DF8-A88C-832ED300E08C}"/>
                </c:ext>
              </c:extLst>
            </c:dLbl>
            <c:dLbl>
              <c:idx val="1"/>
              <c:layout>
                <c:manualLayout>
                  <c:x val="-4.791666666666667E-2"/>
                  <c:y val="-8.53242320819112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2E-4DF8-A88C-832ED300E08C}"/>
                </c:ext>
              </c:extLst>
            </c:dLbl>
            <c:spPr>
              <a:noFill/>
              <a:ln w="2540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 II 2025'!$A$3:$A$7</c:f>
              <c:strCache>
                <c:ptCount val="5"/>
                <c:pt idx="0">
                  <c:v>II.2024</c:v>
                </c:pt>
                <c:pt idx="1">
                  <c:v>III.2024</c:v>
                </c:pt>
                <c:pt idx="2">
                  <c:v>IV.2024</c:v>
                </c:pt>
                <c:pt idx="3">
                  <c:v>I.2025</c:v>
                </c:pt>
                <c:pt idx="4">
                  <c:v>II.2025</c:v>
                </c:pt>
              </c:strCache>
            </c:strRef>
          </c:cat>
          <c:val>
            <c:numRef>
              <c:f>'graf II 2025'!$C$3:$C$7</c:f>
              <c:numCache>
                <c:formatCode>0.0</c:formatCode>
                <c:ptCount val="5"/>
                <c:pt idx="0">
                  <c:v>69</c:v>
                </c:pt>
                <c:pt idx="1">
                  <c:v>67.099999999999994</c:v>
                </c:pt>
                <c:pt idx="2">
                  <c:v>59.4</c:v>
                </c:pt>
                <c:pt idx="3">
                  <c:v>59.9</c:v>
                </c:pt>
                <c:pt idx="4">
                  <c:v>60.6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02E-4DF8-A88C-832ED300E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41046128"/>
        <c:axId val="1"/>
      </c:lineChart>
      <c:catAx>
        <c:axId val="164104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16410461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0.00329</cdr:y>
    </cdr:from>
    <cdr:to>
      <cdr:x>0.0875</cdr:x>
      <cdr:y>0.08224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4300" y="9525"/>
          <a:ext cx="285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%</a:t>
          </a:r>
          <a:endParaRPr lang="bg-BG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2</cp:revision>
  <cp:lastPrinted>2025-08-15T11:22:00Z</cp:lastPrinted>
  <dcterms:created xsi:type="dcterms:W3CDTF">2025-08-15T10:07:00Z</dcterms:created>
  <dcterms:modified xsi:type="dcterms:W3CDTF">2025-08-15T11:34:00Z</dcterms:modified>
</cp:coreProperties>
</file>