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9A" w:rsidRPr="002A2558" w:rsidRDefault="000C5C9A" w:rsidP="000C5C9A">
      <w:pPr>
        <w:tabs>
          <w:tab w:val="left" w:pos="975"/>
        </w:tabs>
        <w:spacing w:after="0"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0C5C9A" w:rsidRPr="00DB25D2" w:rsidRDefault="000C5C9A" w:rsidP="000C5C9A">
      <w:pPr>
        <w:tabs>
          <w:tab w:val="left" w:pos="975"/>
        </w:tabs>
        <w:spacing w:after="0"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0C5C9A" w:rsidRPr="00DB25D2" w:rsidRDefault="000C5C9A" w:rsidP="000C5C9A">
      <w:pPr>
        <w:tabs>
          <w:tab w:val="left" w:pos="975"/>
        </w:tabs>
        <w:spacing w:after="0"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0C5C9A" w:rsidRPr="00DB25D2" w:rsidRDefault="000C5C9A" w:rsidP="000C5C9A">
      <w:pPr>
        <w:tabs>
          <w:tab w:val="left" w:pos="975"/>
        </w:tabs>
        <w:spacing w:after="0"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DB25D2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16FBC0" wp14:editId="59C4C6CC">
                <wp:simplePos x="0" y="0"/>
                <wp:positionH relativeFrom="column">
                  <wp:posOffset>1186815</wp:posOffset>
                </wp:positionH>
                <wp:positionV relativeFrom="paragraph">
                  <wp:posOffset>124460</wp:posOffset>
                </wp:positionV>
                <wp:extent cx="4724400" cy="5334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C9A" w:rsidRPr="004F6479" w:rsidRDefault="000C5C9A" w:rsidP="000C5C9A">
                            <w:pPr>
                              <w:tabs>
                                <w:tab w:val="left" w:pos="975"/>
                              </w:tabs>
                              <w:spacing w:after="0"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0C5C9A" w:rsidRPr="004F6479" w:rsidRDefault="000C5C9A" w:rsidP="000C5C9A">
                            <w:pPr>
                              <w:tabs>
                                <w:tab w:val="left" w:pos="975"/>
                              </w:tabs>
                              <w:spacing w:after="0"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6FB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45pt;margin-top:9.8pt;width:372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" stroked="f">
                <v:textbox>
                  <w:txbxContent>
                    <w:p w:rsidR="000C5C9A" w:rsidRPr="004F6479" w:rsidRDefault="000C5C9A" w:rsidP="000C5C9A">
                      <w:pPr>
                        <w:tabs>
                          <w:tab w:val="left" w:pos="975"/>
                        </w:tabs>
                        <w:spacing w:after="0"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0C5C9A" w:rsidRPr="004F6479" w:rsidRDefault="000C5C9A" w:rsidP="000C5C9A">
                      <w:pPr>
                        <w:tabs>
                          <w:tab w:val="left" w:pos="975"/>
                        </w:tabs>
                        <w:spacing w:after="0"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5C9A" w:rsidRPr="00DB25D2" w:rsidRDefault="000C5C9A" w:rsidP="000C5C9A">
      <w:pPr>
        <w:tabs>
          <w:tab w:val="left" w:pos="975"/>
        </w:tabs>
        <w:spacing w:after="0"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0C5C9A" w:rsidRPr="00DB25D2" w:rsidRDefault="000C5C9A" w:rsidP="000C5C9A">
      <w:pPr>
        <w:tabs>
          <w:tab w:val="left" w:pos="975"/>
        </w:tabs>
        <w:spacing w:after="0"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0C5C9A" w:rsidRPr="00DB25D2" w:rsidRDefault="000C5C9A" w:rsidP="000C5C9A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>НАЕТИ ЛИЦА И СРЕДНА БРУТНА РАБОТНА ЗАПЛАТА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 ОБЛАСТ СЛИВЕН 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ВТОРО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0C5C9A" w:rsidRPr="00DB25D2" w:rsidRDefault="000C5C9A" w:rsidP="000C5C9A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предварителни данни на Националния статистически институт 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броят на наетите лица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 трудово и служебно правоотношение в област Сливен към края на </w:t>
      </w:r>
      <w:r w:rsidR="0027665D"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="003940A5"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3940A5">
        <w:rPr>
          <w:rFonts w:ascii="Verdana" w:eastAsia="Μοντέρνα" w:hAnsi="Verdana" w:cs="Times New Roman"/>
          <w:sz w:val="20"/>
          <w:szCs w:val="20"/>
          <w:lang w:eastAsia="bg-BG"/>
        </w:rPr>
        <w:t>0.2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или с </w:t>
      </w:r>
      <w:r w:rsidR="003940A5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.6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спрямо края на </w:t>
      </w:r>
      <w:r w:rsidR="0027665D">
        <w:rPr>
          <w:rFonts w:ascii="Verdana" w:eastAsia="Μοντέρνα" w:hAnsi="Verdana" w:cs="Times New Roman"/>
          <w:sz w:val="20"/>
          <w:szCs w:val="20"/>
          <w:lang w:eastAsia="bg-BG"/>
        </w:rPr>
        <w:t>март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</w:t>
      </w:r>
      <w:r w:rsidR="0027665D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г., като достига 3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3940A5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хиляди (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фиг. 1).</w:t>
      </w:r>
    </w:p>
    <w:p w:rsidR="000C5C9A" w:rsidRPr="00400377" w:rsidRDefault="000C5C9A" w:rsidP="000C5C9A">
      <w:pPr>
        <w:keepNext/>
        <w:tabs>
          <w:tab w:val="left" w:pos="3123"/>
        </w:tabs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Наети лица по трудово и служебно правоотношение в област Сливен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към края на </w:t>
      </w:r>
      <w:r w:rsidR="0027665D">
        <w:rPr>
          <w:rFonts w:ascii="Verdana" w:eastAsia="Μοντέρνα" w:hAnsi="Verdana" w:cs="Times New Roman"/>
          <w:b/>
          <w:sz w:val="20"/>
          <w:szCs w:val="20"/>
          <w:lang w:eastAsia="bg-BG"/>
        </w:rPr>
        <w:t>март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202</w:t>
      </w:r>
      <w:r w:rsidR="0027665D">
        <w:rPr>
          <w:rFonts w:ascii="Verdana" w:eastAsia="Μοντέρνα" w:hAnsi="Verdana" w:cs="Times New Roman"/>
          <w:b/>
          <w:sz w:val="20"/>
          <w:szCs w:val="20"/>
          <w:lang w:eastAsia="bg-BG"/>
        </w:rPr>
        <w:t>5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и </w:t>
      </w:r>
      <w:r w:rsidR="0027665D">
        <w:rPr>
          <w:rFonts w:ascii="Verdana" w:eastAsia="Μοντέρνα" w:hAnsi="Verdana" w:cs="Times New Roman"/>
          <w:b/>
          <w:sz w:val="20"/>
          <w:szCs w:val="20"/>
          <w:lang w:eastAsia="bg-BG"/>
        </w:rPr>
        <w:t>юни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. по икономически дейности</w:t>
      </w:r>
    </w:p>
    <w:p w:rsidR="000C5C9A" w:rsidRPr="00DB25D2" w:rsidRDefault="00665C02" w:rsidP="000C5C9A">
      <w:pPr>
        <w:tabs>
          <w:tab w:val="left" w:pos="3123"/>
        </w:tabs>
        <w:spacing w:after="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7A4FA68" wp14:editId="0EABB258">
            <wp:extent cx="5009322" cy="5295568"/>
            <wp:effectExtent l="0" t="0" r="1270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C5C9A" w:rsidRPr="00DB25D2" w:rsidRDefault="000C5C9A" w:rsidP="000C5C9A">
      <w:pPr>
        <w:tabs>
          <w:tab w:val="left" w:pos="3123"/>
        </w:tabs>
        <w:spacing w:before="160"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Спрямо края на </w:t>
      </w:r>
      <w:r w:rsidR="0027665D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</w:t>
      </w:r>
      <w:r w:rsidR="003940A5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наетите лица в обществения сектор </w:t>
      </w:r>
      <w:r w:rsidR="003940A5">
        <w:rPr>
          <w:rFonts w:ascii="Verdana" w:eastAsia="Μοντέρνα" w:hAnsi="Verdana" w:cs="Times New Roman"/>
          <w:sz w:val="20"/>
          <w:szCs w:val="20"/>
          <w:lang w:eastAsia="bg-BG"/>
        </w:rPr>
        <w:t>остават почти без промяна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(12.2 хил.), а в частния сектор </w:t>
      </w:r>
      <w:r w:rsidR="003940A5">
        <w:rPr>
          <w:rFonts w:ascii="Verdana" w:eastAsia="Μοντέρνα" w:hAnsi="Verdana" w:cs="Times New Roman"/>
          <w:sz w:val="20"/>
          <w:szCs w:val="20"/>
          <w:lang w:eastAsia="bg-BG"/>
        </w:rPr>
        <w:t>намаляват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3940A5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.9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(достигат до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25.</w:t>
      </w:r>
      <w:r w:rsidR="003940A5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хил.).</w:t>
      </w:r>
    </w:p>
    <w:p w:rsidR="000C5C9A" w:rsidRPr="00DB25D2" w:rsidRDefault="000C5C9A" w:rsidP="000C5C9A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края на </w:t>
      </w:r>
      <w:r w:rsidR="0027665D">
        <w:rPr>
          <w:rFonts w:ascii="Verdana" w:eastAsia="Μοντέρνα" w:hAnsi="Verdana" w:cs="Times New Roman"/>
          <w:sz w:val="20"/>
          <w:szCs w:val="20"/>
          <w:lang w:eastAsia="bg-BG"/>
        </w:rPr>
        <w:t>март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</w:t>
      </w:r>
      <w:r w:rsidR="003940A5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най-голямо намаление на наетите лица по трудово и служебно правоотношение в абсолютна стойност е регистрирано в икономическите дейности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940A5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„Преработваща промишленост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3940A5">
        <w:rPr>
          <w:rFonts w:ascii="Verdana" w:eastAsia="Μοντέρνα" w:hAnsi="Verdana" w:cs="Times New Roman"/>
          <w:sz w:val="20"/>
          <w:szCs w:val="20"/>
          <w:lang w:eastAsia="bg-BG"/>
        </w:rPr>
        <w:t>, „</w:t>
      </w:r>
      <w:r w:rsidR="003940A5" w:rsidRPr="003940A5">
        <w:rPr>
          <w:rFonts w:ascii="Verdana" w:eastAsia="Μοντέρνα" w:hAnsi="Verdana" w:cs="Times New Roman"/>
          <w:sz w:val="20"/>
          <w:szCs w:val="20"/>
          <w:lang w:eastAsia="bg-BG"/>
        </w:rPr>
        <w:t>Хотелиерство и ресторантьорство</w:t>
      </w:r>
      <w:r w:rsidR="003940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3940A5" w:rsidRPr="003940A5">
        <w:rPr>
          <w:rFonts w:ascii="Verdana" w:eastAsia="Μοντέρνα" w:hAnsi="Verdana" w:cs="Times New Roman"/>
          <w:sz w:val="20"/>
          <w:szCs w:val="20"/>
          <w:lang w:eastAsia="bg-BG"/>
        </w:rPr>
        <w:t>Държавно управление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“. Най-голямо увеличение на наетите лица се наблюдава в икономическите дейности: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940A5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„Хуманно здравеопазване</w:t>
      </w:r>
      <w:r w:rsidR="003940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940A5" w:rsidRPr="00F131BD">
        <w:rPr>
          <w:rFonts w:ascii="Verdana" w:eastAsia="Μοντέρνα" w:hAnsi="Verdana" w:cs="Times New Roman"/>
          <w:sz w:val="20"/>
          <w:szCs w:val="20"/>
          <w:lang w:eastAsia="bg-BG"/>
        </w:rPr>
        <w:t>и социална работа</w:t>
      </w:r>
      <w:r w:rsidR="003940A5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B1251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B12514"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„Търговия; </w:t>
      </w:r>
      <w:r w:rsidR="00B12514">
        <w:rPr>
          <w:rFonts w:ascii="Verdana" w:eastAsia="Μοντέρνα" w:hAnsi="Verdana" w:cs="Times New Roman"/>
          <w:sz w:val="20"/>
          <w:szCs w:val="20"/>
          <w:lang w:eastAsia="bg-BG"/>
        </w:rPr>
        <w:t>р</w:t>
      </w:r>
      <w:r w:rsidR="00B12514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емонт на автомобили и мотоциклети“</w:t>
      </w:r>
      <w:r w:rsidR="00B1251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B12514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"Производство и разпределение на електрическа и топлинна енергия и на газообразни горива”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0C5C9A" w:rsidRPr="00DB25D2" w:rsidRDefault="000C5C9A" w:rsidP="000C5C9A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края на </w:t>
      </w:r>
      <w:r w:rsidR="0027665D"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броят на наетите лица по трудово и служебно правоотношение в област Сливен 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0.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със същия период на предходната година. В обществения сектор наетите се увеличават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в частния сектор намаляват с 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1.7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0C5C9A" w:rsidRPr="00DB25D2" w:rsidRDefault="000C5C9A" w:rsidP="000C5C9A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структурата на наетите лица по икономически дейности най-голям е относителният дял на наетите по трудово и служебно правоотношение в дейностите „Преработваща промишленост“ - 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25.7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„Търговия;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р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емонт на автомобили и мотоциклети“ - 15.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„Хуманно здравеопазване и социална работа“ - 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13.3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0C5C9A" w:rsidRPr="00DB25D2" w:rsidRDefault="000C5C9A" w:rsidP="000C5C9A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област Сливен 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>средната брутна месечна работна заплата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3366BE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919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лв., при 2</w:t>
      </w:r>
      <w:r w:rsidR="003366BE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572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 средна за страната.</w:t>
      </w:r>
    </w:p>
    <w:p w:rsidR="000C5C9A" w:rsidRDefault="000C5C9A" w:rsidP="000C5C9A">
      <w:pPr>
        <w:keepNext/>
        <w:tabs>
          <w:tab w:val="left" w:pos="3123"/>
        </w:tabs>
        <w:spacing w:before="160" w:after="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2. Средна брутна месечна работна заплата по тримесечия </w:t>
      </w:r>
    </w:p>
    <w:p w:rsidR="000C5C9A" w:rsidRPr="00141A65" w:rsidRDefault="000C5C9A" w:rsidP="000C5C9A">
      <w:pPr>
        <w:keepNext/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>в област Сливен</w:t>
      </w:r>
    </w:p>
    <w:p w:rsidR="000C5C9A" w:rsidRDefault="0027725F" w:rsidP="000C5C9A">
      <w:pPr>
        <w:tabs>
          <w:tab w:val="left" w:pos="3123"/>
        </w:tabs>
        <w:spacing w:after="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4A83C9F" wp14:editId="0C95676F">
            <wp:extent cx="5677231" cy="3172460"/>
            <wp:effectExtent l="0" t="0" r="0" b="889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5C9A" w:rsidRPr="00DB25D2" w:rsidRDefault="000C5C9A" w:rsidP="000C5C9A">
      <w:pPr>
        <w:tabs>
          <w:tab w:val="left" w:pos="3123"/>
        </w:tabs>
        <w:spacing w:before="160"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В сравнение с останалите области на страната, по показателя средна брутна месечна работна заплата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г., област Сливен се нарежда на 2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0-т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о място. Най-висока средна работна заплата получават наетите в област София (столица) - 3</w:t>
      </w:r>
      <w:r w:rsidR="003366BE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489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лв., а най-ниска - в областите 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Смолян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801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 и 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Кюстендил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- 1 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779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лева.</w:t>
      </w:r>
    </w:p>
    <w:p w:rsidR="000C5C9A" w:rsidRPr="00DB25D2" w:rsidRDefault="000C5C9A" w:rsidP="000C5C9A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средната месечна работна заплата за област Сливен </w:t>
      </w:r>
      <w:r w:rsidR="00BA3ACA"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спрямо </w:t>
      </w:r>
      <w:r w:rsidR="0027665D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 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9.3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като в обществения сектор средната месечна заплата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бележи 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ръст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 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16.9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% и достига 2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 404 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лв., а в частния е нараснала с 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4.7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%, достигайки 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 6</w:t>
      </w:r>
      <w:r w:rsidR="003366BE">
        <w:rPr>
          <w:rFonts w:ascii="Verdana" w:eastAsia="Μοντέρνα" w:hAnsi="Verdana" w:cs="Times New Roman"/>
          <w:sz w:val="20"/>
          <w:szCs w:val="20"/>
          <w:lang w:eastAsia="bg-BG"/>
        </w:rPr>
        <w:t>87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лева.</w:t>
      </w:r>
    </w:p>
    <w:p w:rsidR="000C5C9A" w:rsidRPr="00DB25D2" w:rsidRDefault="000C5C9A" w:rsidP="000C5C9A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средната месечна работна заплата за област Сливен нараства с </w:t>
      </w:r>
      <w:r w:rsidR="00641312">
        <w:rPr>
          <w:rFonts w:ascii="Verdana" w:eastAsia="Μοντέρνα" w:hAnsi="Verdana" w:cs="Times New Roman"/>
          <w:sz w:val="20"/>
          <w:szCs w:val="20"/>
          <w:lang w:eastAsia="bg-BG"/>
        </w:rPr>
        <w:t>14.7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 (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фиг. 2).</w:t>
      </w:r>
    </w:p>
    <w:p w:rsidR="000C5C9A" w:rsidRPr="00DB25D2" w:rsidRDefault="000C5C9A" w:rsidP="000C5C9A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Най-висока средна брутна месечна заплата получават наетите в секторите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„Финансови и застрахователни дейности“, </w:t>
      </w:r>
      <w:r w:rsidR="00641312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641312">
        <w:rPr>
          <w:rFonts w:ascii="Verdana" w:eastAsia="Μοντέρνα" w:hAnsi="Verdana" w:cs="Times New Roman"/>
          <w:sz w:val="20"/>
          <w:szCs w:val="20"/>
          <w:lang w:eastAsia="bg-BG"/>
        </w:rPr>
        <w:t>Образование</w:t>
      </w:r>
      <w:r w:rsidR="00641312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64131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и „Държавно управление“.</w:t>
      </w:r>
    </w:p>
    <w:p w:rsidR="000C5C9A" w:rsidRPr="00DB25D2" w:rsidRDefault="000C5C9A" w:rsidP="000C5C9A">
      <w:pPr>
        <w:tabs>
          <w:tab w:val="left" w:pos="3123"/>
        </w:tabs>
        <w:spacing w:before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0C5C9A" w:rsidRPr="00DB25D2" w:rsidRDefault="000C5C9A" w:rsidP="000C5C9A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получени от тримесечното Наблюдение на наетите лица, отработеното време, средствата за работна заплата и други разходи за труд, което има за цел да изследва текущото състояние и динамика на основни аспекти на пазара на труда.</w:t>
      </w:r>
    </w:p>
    <w:p w:rsidR="000C5C9A" w:rsidRPr="00DB25D2" w:rsidRDefault="000C5C9A" w:rsidP="000C5C9A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Наблюдението е репрезентативно, като се използва стратифицирана случайна извадка от предприятия. Генералната съвкупност се стратифицира по следните критерии: териториален признак - 28 административни области, икономическа дейност по КИД-2008 и размер на предприятието, според броя на наетите лица.</w:t>
      </w:r>
    </w:p>
    <w:p w:rsidR="000C5C9A" w:rsidRPr="00DB25D2" w:rsidRDefault="000C5C9A" w:rsidP="000C5C9A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Повече информация и данни за наетите лица, отработеното време, средствата за работна заплата и други разходи за труд са достъпни в Информационна система „Инфостат“ (</w:t>
      </w:r>
      <w:hyperlink r:id="rId9" w:history="1">
        <w:r w:rsidRPr="00DB25D2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https://infostat.nsi.bg/infostat/pages/module.jsf?x_2=93</w:t>
        </w:r>
      </w:hyperlink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„Пазар на труда“ (</w:t>
      </w:r>
      <w:hyperlink r:id="rId10" w:history="1">
        <w:r w:rsidRPr="00DB25D2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http://www.nsi.bg/node/3920/</w:t>
        </w:r>
      </w:hyperlink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).</w:t>
      </w:r>
    </w:p>
    <w:p w:rsidR="00265ACF" w:rsidRDefault="00265ACF"/>
    <w:sectPr w:rsidR="00265ACF" w:rsidSect="00CD14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21" w:rsidRDefault="00884C21">
      <w:pPr>
        <w:spacing w:after="0" w:line="240" w:lineRule="auto"/>
      </w:pPr>
      <w:r>
        <w:separator/>
      </w:r>
    </w:p>
  </w:endnote>
  <w:endnote w:type="continuationSeparator" w:id="0">
    <w:p w:rsidR="00884C21" w:rsidRDefault="0088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27725F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80A074C" wp14:editId="53C6BCFC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CEC421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A4CE93D" wp14:editId="439C8CE5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FA3B9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D60ED2" wp14:editId="1A03822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27725F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269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D60ED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27725F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0269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27725F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27725F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773C37" wp14:editId="2E4DCB2B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27725F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269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773C3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27725F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0269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780B82" wp14:editId="0D5E60BB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A2512D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" fillcolor="#a5a5a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21" w:rsidRDefault="00884C21">
      <w:pPr>
        <w:spacing w:after="0" w:line="240" w:lineRule="auto"/>
      </w:pPr>
      <w:r>
        <w:separator/>
      </w:r>
    </w:p>
  </w:footnote>
  <w:footnote w:type="continuationSeparator" w:id="0">
    <w:p w:rsidR="00884C21" w:rsidRDefault="0088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27725F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E187F9" wp14:editId="062A18E7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D23" w:rsidRPr="00DB25D2" w:rsidRDefault="0027725F" w:rsidP="00890D23">
                            <w:pPr>
                              <w:tabs>
                                <w:tab w:val="left" w:pos="3123"/>
                              </w:tabs>
                              <w:spacing w:after="0"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DB25D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НАЕТИ ЛИЦА И СРЕДНА БРУТНА РАБОТНА ЗАПЛАТА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</w:t>
                            </w:r>
                            <w:r w:rsidRPr="00DB25D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В ОБЛАСТ СЛИВЕН ПРЕЗ </w:t>
                            </w:r>
                            <w:r w:rsidR="000C5C9A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ВТОРО</w:t>
                            </w:r>
                            <w:r w:rsidRPr="00DB25D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ТО ТРИМЕСЕЧИЕ НА 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2025</w:t>
                            </w:r>
                            <w:r w:rsidRPr="00DB25D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ГОДИНА</w:t>
                            </w:r>
                          </w:p>
                          <w:p w:rsidR="00054328" w:rsidRPr="00101DE0" w:rsidRDefault="00884C21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E187F9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890D23" w:rsidRPr="00DB25D2" w:rsidRDefault="0027725F" w:rsidP="00890D23">
                      <w:pPr>
                        <w:tabs>
                          <w:tab w:val="left" w:pos="3123"/>
                        </w:tabs>
                        <w:spacing w:after="0" w:line="360" w:lineRule="auto"/>
                        <w:jc w:val="center"/>
                        <w:rPr>
                          <w:rFonts w:ascii="Verdana" w:eastAsia="Μοντέρνα" w:hAnsi="Verdana" w:cs="Times New Roman"/>
                          <w:sz w:val="20"/>
                          <w:szCs w:val="20"/>
                          <w:lang w:eastAsia="bg-BG"/>
                        </w:rPr>
                      </w:pPr>
                      <w:r w:rsidRPr="00DB25D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НАЕТИ ЛИЦА И СРЕДНА БРУТНА РАБОТНА ЗАПЛАТА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</w:t>
                      </w:r>
                      <w:r w:rsidRPr="00DB25D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В ОБЛАСТ СЛИВЕН ПРЕЗ </w:t>
                      </w:r>
                      <w:r w:rsidR="000C5C9A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ВТОРО</w:t>
                      </w:r>
                      <w:r w:rsidRPr="00DB25D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ТО ТРИМЕСЕЧИЕ НА 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2025</w:t>
                      </w:r>
                      <w:r w:rsidRPr="00DB25D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ГОДИНА</w:t>
                      </w:r>
                    </w:p>
                    <w:p w:rsidR="00054328" w:rsidRPr="00101DE0" w:rsidRDefault="0027725F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27725F" w:rsidP="003E6893">
    <w:pPr>
      <w:pStyle w:val="BodyText"/>
      <w:spacing w:before="188"/>
      <w:rPr>
        <w:rFonts w:ascii="Viol" w:hAnsi="Viol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A3FEC9" wp14:editId="157233D9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10025" cy="609600"/>
              <wp:effectExtent l="0" t="0" r="9525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27725F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27725F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3FEC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15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" stroked="f">
              <v:textbox>
                <w:txbxContent>
                  <w:p w:rsidR="003E6893" w:rsidRDefault="0027725F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27725F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593BC29A" wp14:editId="64A585AE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064817" wp14:editId="35087911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574B09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21194B6F" wp14:editId="626F9506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DB4EDC1" wp14:editId="5111F88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5883F3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9A"/>
    <w:rsid w:val="000C5C9A"/>
    <w:rsid w:val="00265ACF"/>
    <w:rsid w:val="0027665D"/>
    <w:rsid w:val="0027725F"/>
    <w:rsid w:val="003366BE"/>
    <w:rsid w:val="003940A5"/>
    <w:rsid w:val="00602691"/>
    <w:rsid w:val="00641312"/>
    <w:rsid w:val="00665C02"/>
    <w:rsid w:val="00884C21"/>
    <w:rsid w:val="00A06DA3"/>
    <w:rsid w:val="00B12514"/>
    <w:rsid w:val="00B40BF8"/>
    <w:rsid w:val="00BA3ACA"/>
    <w:rsid w:val="00C56083"/>
    <w:rsid w:val="00D2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9C0A7C-60C9-412F-AA03-1824E4E4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C5C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5C9A"/>
  </w:style>
  <w:style w:type="paragraph" w:styleId="Header">
    <w:name w:val="header"/>
    <w:basedOn w:val="Normal"/>
    <w:link w:val="HeaderChar"/>
    <w:uiPriority w:val="99"/>
    <w:unhideWhenUsed/>
    <w:rsid w:val="000C5C9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5C9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C9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C5C9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si.bg/node/39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stat.nsi.bg/infostat/pages/module.jsf?x_2=93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Naeti_sr_rz\Trud_2025\pom_tabl_2019_2020_2025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Naeti_sr_rz\Trud_2025\pom_tabl_2019_2020_202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618123906386787"/>
          <c:y val="2.1559997308028812E-2"/>
          <c:w val="0.43273926947568386"/>
          <c:h val="0.89959294436906356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'naeti II 2025'!$B$1</c:f>
              <c:strCache>
                <c:ptCount val="1"/>
                <c:pt idx="0">
                  <c:v>март 2025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'naeti II 2025'!$A$2:$A$20</c:f>
              <c:strCache>
                <c:ptCount val="19"/>
                <c:pt idx="0">
                  <c:v>Други дейности</c:v>
                </c:pt>
                <c:pt idx="1">
                  <c:v>Култура, спорт и развлечения</c:v>
                </c:pt>
                <c:pt idx="2">
                  <c:v>Хуманно здравеопазване</c:v>
                </c:pt>
                <c:pt idx="3">
                  <c:v>Образование</c:v>
                </c:pt>
                <c:pt idx="4">
                  <c:v>Държавно управление</c:v>
                </c:pt>
                <c:pt idx="5">
                  <c:v>Административни и спомагателни дейности</c:v>
                </c:pt>
                <c:pt idx="6">
                  <c:v>Професионални дейности и научни изследвания</c:v>
                </c:pt>
                <c:pt idx="7">
                  <c:v>Операции с недвижими имоти</c:v>
                </c:pt>
                <c:pt idx="8">
                  <c:v>Финансови и застрахователни дейности</c:v>
                </c:pt>
                <c:pt idx="9">
                  <c:v>Далекосъобщения</c:v>
                </c:pt>
                <c:pt idx="10">
                  <c:v>Хотелиерство и ресторантьорство</c:v>
                </c:pt>
                <c:pt idx="11">
                  <c:v>Транспорт, складиране и пощи</c:v>
                </c:pt>
                <c:pt idx="12">
                  <c:v>Търговия, ремонт на автомобили</c:v>
                </c:pt>
                <c:pt idx="13">
                  <c:v>Строителство</c:v>
                </c:pt>
                <c:pt idx="14">
                  <c:v>Доставяне на води</c:v>
                </c:pt>
                <c:pt idx="15">
                  <c:v>Производство и разпределение на електрическа и топлинна енергия</c:v>
                </c:pt>
                <c:pt idx="16">
                  <c:v>Преработваща промишленост</c:v>
                </c:pt>
                <c:pt idx="17">
                  <c:v>Добивна промишленост</c:v>
                </c:pt>
                <c:pt idx="18">
                  <c:v>Селско, горско и рибно стопанство</c:v>
                </c:pt>
              </c:strCache>
            </c:strRef>
          </c:cat>
          <c:val>
            <c:numRef>
              <c:f>'naeti II 2025'!$B$2:$B$20</c:f>
              <c:numCache>
                <c:formatCode>General</c:formatCode>
                <c:ptCount val="19"/>
                <c:pt idx="0">
                  <c:v>647</c:v>
                </c:pt>
                <c:pt idx="1">
                  <c:v>490</c:v>
                </c:pt>
                <c:pt idx="2">
                  <c:v>4812</c:v>
                </c:pt>
                <c:pt idx="3">
                  <c:v>3864</c:v>
                </c:pt>
                <c:pt idx="4">
                  <c:v>1965</c:v>
                </c:pt>
                <c:pt idx="5">
                  <c:v>1526</c:v>
                </c:pt>
                <c:pt idx="6">
                  <c:v>374</c:v>
                </c:pt>
                <c:pt idx="7">
                  <c:v>231</c:v>
                </c:pt>
                <c:pt idx="8">
                  <c:v>139</c:v>
                </c:pt>
                <c:pt idx="9">
                  <c:v>133</c:v>
                </c:pt>
                <c:pt idx="10">
                  <c:v>1214</c:v>
                </c:pt>
                <c:pt idx="11">
                  <c:v>1443</c:v>
                </c:pt>
                <c:pt idx="12">
                  <c:v>5706</c:v>
                </c:pt>
                <c:pt idx="13">
                  <c:v>2194</c:v>
                </c:pt>
                <c:pt idx="14">
                  <c:v>508</c:v>
                </c:pt>
                <c:pt idx="15">
                  <c:v>402</c:v>
                </c:pt>
                <c:pt idx="16">
                  <c:v>9744</c:v>
                </c:pt>
                <c:pt idx="17">
                  <c:v>83</c:v>
                </c:pt>
                <c:pt idx="18">
                  <c:v>2021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C6-4889-8D04-8A400C70A7D0}"/>
            </c:ext>
          </c:extLst>
        </c:ser>
        <c:ser>
          <c:idx val="0"/>
          <c:order val="1"/>
          <c:tx>
            <c:strRef>
              <c:f>'naeti II 2025'!$C$1</c:f>
              <c:strCache>
                <c:ptCount val="1"/>
                <c:pt idx="0">
                  <c:v>юни 2025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'naeti II 2025'!$A$2:$A$20</c:f>
              <c:strCache>
                <c:ptCount val="19"/>
                <c:pt idx="0">
                  <c:v>Други дейности</c:v>
                </c:pt>
                <c:pt idx="1">
                  <c:v>Култура, спорт и развлечения</c:v>
                </c:pt>
                <c:pt idx="2">
                  <c:v>Хуманно здравеопазване</c:v>
                </c:pt>
                <c:pt idx="3">
                  <c:v>Образование</c:v>
                </c:pt>
                <c:pt idx="4">
                  <c:v>Държавно управление</c:v>
                </c:pt>
                <c:pt idx="5">
                  <c:v>Административни и спомагателни дейности</c:v>
                </c:pt>
                <c:pt idx="6">
                  <c:v>Професионални дейности и научни изследвания</c:v>
                </c:pt>
                <c:pt idx="7">
                  <c:v>Операции с недвижими имоти</c:v>
                </c:pt>
                <c:pt idx="8">
                  <c:v>Финансови и застрахователни дейности</c:v>
                </c:pt>
                <c:pt idx="9">
                  <c:v>Далекосъобщения</c:v>
                </c:pt>
                <c:pt idx="10">
                  <c:v>Хотелиерство и ресторантьорство</c:v>
                </c:pt>
                <c:pt idx="11">
                  <c:v>Транспорт, складиране и пощи</c:v>
                </c:pt>
                <c:pt idx="12">
                  <c:v>Търговия, ремонт на автомобили</c:v>
                </c:pt>
                <c:pt idx="13">
                  <c:v>Строителство</c:v>
                </c:pt>
                <c:pt idx="14">
                  <c:v>Доставяне на води</c:v>
                </c:pt>
                <c:pt idx="15">
                  <c:v>Производство и разпределение на електрическа и топлинна енергия</c:v>
                </c:pt>
                <c:pt idx="16">
                  <c:v>Преработваща промишленост</c:v>
                </c:pt>
                <c:pt idx="17">
                  <c:v>Добивна промишленост</c:v>
                </c:pt>
                <c:pt idx="18">
                  <c:v>Селско, горско и рибно стопанство</c:v>
                </c:pt>
              </c:strCache>
            </c:strRef>
          </c:cat>
          <c:val>
            <c:numRef>
              <c:f>'naeti II 2025'!$C$2:$C$20</c:f>
              <c:numCache>
                <c:formatCode>General</c:formatCode>
                <c:ptCount val="19"/>
                <c:pt idx="0">
                  <c:v>620</c:v>
                </c:pt>
                <c:pt idx="1">
                  <c:v>507</c:v>
                </c:pt>
                <c:pt idx="2">
                  <c:v>4962</c:v>
                </c:pt>
                <c:pt idx="3">
                  <c:v>3807</c:v>
                </c:pt>
                <c:pt idx="4">
                  <c:v>1886</c:v>
                </c:pt>
                <c:pt idx="5">
                  <c:v>1537</c:v>
                </c:pt>
                <c:pt idx="6">
                  <c:v>374</c:v>
                </c:pt>
                <c:pt idx="7">
                  <c:v>230</c:v>
                </c:pt>
                <c:pt idx="8">
                  <c:v>124</c:v>
                </c:pt>
                <c:pt idx="9">
                  <c:v>133</c:v>
                </c:pt>
                <c:pt idx="10">
                  <c:v>1119</c:v>
                </c:pt>
                <c:pt idx="11">
                  <c:v>1464</c:v>
                </c:pt>
                <c:pt idx="12">
                  <c:v>5756</c:v>
                </c:pt>
                <c:pt idx="13">
                  <c:v>2140</c:v>
                </c:pt>
                <c:pt idx="14">
                  <c:v>508</c:v>
                </c:pt>
                <c:pt idx="15">
                  <c:v>425</c:v>
                </c:pt>
                <c:pt idx="16">
                  <c:v>9587</c:v>
                </c:pt>
                <c:pt idx="17">
                  <c:v>81</c:v>
                </c:pt>
                <c:pt idx="18">
                  <c:v>2021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C6-4889-8D04-8A400C70A7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"/>
        <c:axId val="128824352"/>
        <c:axId val="1"/>
      </c:barChart>
      <c:catAx>
        <c:axId val="1288243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noMultiLvlLbl val="0"/>
      </c:catAx>
      <c:valAx>
        <c:axId val="1"/>
        <c:scaling>
          <c:orientation val="minMax"/>
          <c:max val="1000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288243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73769173348744"/>
          <c:y val="0.47374853896036373"/>
          <c:w val="0.23386375785595603"/>
          <c:h val="6.810636784506529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571741032371027E-2"/>
          <c:y val="0.10693299120357559"/>
          <c:w val="0.87087270341207579"/>
          <c:h val="0.70271204917276497"/>
        </c:manualLayout>
      </c:layout>
      <c:lineChart>
        <c:grouping val="standard"/>
        <c:varyColors val="0"/>
        <c:ser>
          <c:idx val="0"/>
          <c:order val="0"/>
          <c:spPr>
            <a:ln w="12700"/>
          </c:spPr>
          <c:dLbls>
            <c:dLbl>
              <c:idx val="0"/>
              <c:layout>
                <c:manualLayout>
                  <c:x val="-2.4999999999999981E-2"/>
                  <c:y val="3.703703703703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23-4A5F-B1DF-2B2E91DB2E12}"/>
                </c:ext>
              </c:extLst>
            </c:dLbl>
            <c:dLbl>
              <c:idx val="1"/>
              <c:layout>
                <c:manualLayout>
                  <c:x val="-2.7777777777777991E-2"/>
                  <c:y val="2.3148148148148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23-4A5F-B1DF-2B2E91DB2E12}"/>
                </c:ext>
              </c:extLst>
            </c:dLbl>
            <c:dLbl>
              <c:idx val="2"/>
              <c:layout>
                <c:manualLayout>
                  <c:x val="-3.6850072640002604E-2"/>
                  <c:y val="4.8046314784814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23-4A5F-B1DF-2B2E91DB2E12}"/>
                </c:ext>
              </c:extLst>
            </c:dLbl>
            <c:dLbl>
              <c:idx val="3"/>
              <c:layout>
                <c:manualLayout>
                  <c:x val="-2.9255861365953109E-2"/>
                  <c:y val="2.52546182923305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23-4A5F-B1DF-2B2E91DB2E12}"/>
                </c:ext>
              </c:extLst>
            </c:dLbl>
            <c:dLbl>
              <c:idx val="4"/>
              <c:layout>
                <c:manualLayout>
                  <c:x val="-3.6111111111111212E-2"/>
                  <c:y val="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23-4A5F-B1DF-2B2E91DB2E12}"/>
                </c:ext>
              </c:extLst>
            </c:dLbl>
            <c:dLbl>
              <c:idx val="5"/>
              <c:layout>
                <c:manualLayout>
                  <c:x val="-3.0555555555555582E-2"/>
                  <c:y val="2.7777777777777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23-4A5F-B1DF-2B2E91DB2E12}"/>
                </c:ext>
              </c:extLst>
            </c:dLbl>
            <c:dLbl>
              <c:idx val="6"/>
              <c:layout>
                <c:manualLayout>
                  <c:x val="-2.3878735341568542E-2"/>
                  <c:y val="3.0657423802885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23-4A5F-B1DF-2B2E91DB2E12}"/>
                </c:ext>
              </c:extLst>
            </c:dLbl>
            <c:dLbl>
              <c:idx val="7"/>
              <c:layout>
                <c:manualLayout>
                  <c:x val="-3.5550418582998303E-2"/>
                  <c:y val="6.0169033894686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23-4A5F-B1DF-2B2E91DB2E12}"/>
                </c:ext>
              </c:extLst>
            </c:dLbl>
            <c:dLbl>
              <c:idx val="8"/>
              <c:layout>
                <c:manualLayout>
                  <c:x val="-3.8888888888888994E-2"/>
                  <c:y val="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923-4A5F-B1DF-2B2E91DB2E12}"/>
                </c:ext>
              </c:extLst>
            </c:dLbl>
            <c:dLbl>
              <c:idx val="9"/>
              <c:layout>
                <c:manualLayout>
                  <c:x val="-3.6111151243709366E-2"/>
                  <c:y val="3.8295344660864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23-4A5F-B1DF-2B2E91DB2E12}"/>
                </c:ext>
              </c:extLst>
            </c:dLbl>
            <c:dLbl>
              <c:idx val="10"/>
              <c:layout>
                <c:manualLayout>
                  <c:x val="-2.9077512099978328E-2"/>
                  <c:y val="3.87898881060920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923-4A5F-B1DF-2B2E91DB2E12}"/>
                </c:ext>
              </c:extLst>
            </c:dLbl>
            <c:dLbl>
              <c:idx val="11"/>
              <c:layout>
                <c:manualLayout>
                  <c:x val="-4.0774719673802244E-2"/>
                  <c:y val="5.69626643559507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923-4A5F-B1DF-2B2E91DB2E12}"/>
                </c:ext>
              </c:extLst>
            </c:dLbl>
            <c:dLbl>
              <c:idx val="12"/>
              <c:layout>
                <c:manualLayout>
                  <c:x val="-2.4464831804281495E-2"/>
                  <c:y val="3.7672707179545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923-4A5F-B1DF-2B2E91DB2E12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'zaplati II 2025'!$B$7:$B$19</c:f>
              <c:strCache>
                <c:ptCount val="13"/>
                <c:pt idx="0">
                  <c:v>II 2022</c:v>
                </c:pt>
                <c:pt idx="1">
                  <c:v>III 2022</c:v>
                </c:pt>
                <c:pt idx="2">
                  <c:v>IV 2022</c:v>
                </c:pt>
                <c:pt idx="3">
                  <c:v>I 2023</c:v>
                </c:pt>
                <c:pt idx="4">
                  <c:v>II 2023</c:v>
                </c:pt>
                <c:pt idx="5">
                  <c:v>III 2023</c:v>
                </c:pt>
                <c:pt idx="6">
                  <c:v>IV 2023</c:v>
                </c:pt>
                <c:pt idx="7">
                  <c:v>I 2024</c:v>
                </c:pt>
                <c:pt idx="8">
                  <c:v>II 2024</c:v>
                </c:pt>
                <c:pt idx="9">
                  <c:v>III 2024</c:v>
                </c:pt>
                <c:pt idx="10">
                  <c:v>IV 2024</c:v>
                </c:pt>
                <c:pt idx="11">
                  <c:v>I 2025</c:v>
                </c:pt>
                <c:pt idx="12">
                  <c:v>II 2025</c:v>
                </c:pt>
              </c:strCache>
            </c:strRef>
          </c:cat>
          <c:val>
            <c:numRef>
              <c:f>'zaplati II 2025'!$C$7:$C$19</c:f>
              <c:numCache>
                <c:formatCode>[$-10409]0</c:formatCode>
                <c:ptCount val="13"/>
                <c:pt idx="0">
                  <c:v>1284</c:v>
                </c:pt>
                <c:pt idx="1">
                  <c:v>1285</c:v>
                </c:pt>
                <c:pt idx="2">
                  <c:v>1379</c:v>
                </c:pt>
                <c:pt idx="3">
                  <c:v>1385</c:v>
                </c:pt>
                <c:pt idx="4">
                  <c:v>1446</c:v>
                </c:pt>
                <c:pt idx="5">
                  <c:v>1495</c:v>
                </c:pt>
                <c:pt idx="6">
                  <c:v>1582</c:v>
                </c:pt>
                <c:pt idx="7">
                  <c:v>1607</c:v>
                </c:pt>
                <c:pt idx="8" formatCode="General">
                  <c:v>1673</c:v>
                </c:pt>
                <c:pt idx="9" formatCode="General">
                  <c:v>1670</c:v>
                </c:pt>
                <c:pt idx="10" formatCode="General">
                  <c:v>1785</c:v>
                </c:pt>
                <c:pt idx="11">
                  <c:v>1756</c:v>
                </c:pt>
                <c:pt idx="12">
                  <c:v>1919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A923-4A5F-B1DF-2B2E91DB2E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923840"/>
        <c:axId val="1"/>
      </c:lineChart>
      <c:catAx>
        <c:axId val="129923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700"/>
        </c:scaling>
        <c:delete val="0"/>
        <c:axPos val="l"/>
        <c:majorGridlines/>
        <c:numFmt formatCode="[$-10409]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bg-BG"/>
          </a:p>
        </c:txPr>
        <c:crossAx val="129923840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0.8467</cdr:x>
      <cdr:y>0.90415</cdr:y>
    </cdr:from>
    <cdr:to>
      <cdr:x>0.94535</cdr:x>
      <cdr:y>0.93614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15825" y="8190010"/>
          <a:ext cx="567488" cy="2897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0.01835</cdr:x>
      <cdr:y>0.00639</cdr:y>
    </cdr:from>
    <cdr:to>
      <cdr:x>0.12844</cdr:x>
      <cdr:y>0.08946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4301" y="25441"/>
          <a:ext cx="685800" cy="330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solidFill>
                <a:schemeClr val="tx1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rPr>
            <a:t>Левове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189A-55ED-43B2-A71F-51849720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3</cp:revision>
  <dcterms:created xsi:type="dcterms:W3CDTF">2025-08-15T09:19:00Z</dcterms:created>
  <dcterms:modified xsi:type="dcterms:W3CDTF">2025-08-15T09:31:00Z</dcterms:modified>
</cp:coreProperties>
</file>