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A3D17" w14:textId="77777777" w:rsidR="0029288F" w:rsidRPr="002A2558" w:rsidRDefault="0029288F" w:rsidP="0029288F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5A1673B2" w14:textId="77777777" w:rsidR="0029288F" w:rsidRPr="00DB25D2" w:rsidRDefault="0029288F" w:rsidP="0029288F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2A61536D" w14:textId="77777777" w:rsidR="0029288F" w:rsidRPr="00DB25D2" w:rsidRDefault="0029288F" w:rsidP="0029288F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72CA3551" w14:textId="77777777" w:rsidR="0029288F" w:rsidRPr="00DB25D2" w:rsidRDefault="0029288F" w:rsidP="0029288F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DB25D2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07BB26" wp14:editId="34A35F25">
                <wp:simplePos x="0" y="0"/>
                <wp:positionH relativeFrom="column">
                  <wp:posOffset>1186815</wp:posOffset>
                </wp:positionH>
                <wp:positionV relativeFrom="paragraph">
                  <wp:posOffset>124460</wp:posOffset>
                </wp:positionV>
                <wp:extent cx="4724400" cy="5334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CDC8A" w14:textId="77777777" w:rsidR="0029288F" w:rsidRPr="004F6479" w:rsidRDefault="0029288F" w:rsidP="0029288F">
                            <w:pPr>
                              <w:tabs>
                                <w:tab w:val="left" w:pos="975"/>
                              </w:tabs>
                              <w:spacing w:after="0"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14:paraId="7BD56C67" w14:textId="77777777" w:rsidR="0029288F" w:rsidRPr="004F6479" w:rsidRDefault="0029288F" w:rsidP="0029288F">
                            <w:pPr>
                              <w:tabs>
                                <w:tab w:val="left" w:pos="975"/>
                              </w:tabs>
                              <w:spacing w:after="0"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7B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45pt;margin-top:9.8pt;width:372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" stroked="f">
                <v:textbox>
                  <w:txbxContent>
                    <w:p w14:paraId="4AECDC8A" w14:textId="77777777" w:rsidR="0029288F" w:rsidRPr="004F6479" w:rsidRDefault="0029288F" w:rsidP="0029288F">
                      <w:pPr>
                        <w:tabs>
                          <w:tab w:val="left" w:pos="975"/>
                        </w:tabs>
                        <w:spacing w:after="0"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14:paraId="7BD56C67" w14:textId="77777777" w:rsidR="0029288F" w:rsidRPr="004F6479" w:rsidRDefault="0029288F" w:rsidP="0029288F">
                      <w:pPr>
                        <w:tabs>
                          <w:tab w:val="left" w:pos="975"/>
                        </w:tabs>
                        <w:spacing w:after="0"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6C5185" w14:textId="77777777" w:rsidR="0029288F" w:rsidRPr="00DB25D2" w:rsidRDefault="0029288F" w:rsidP="0029288F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14:paraId="20804724" w14:textId="77777777" w:rsidR="0029288F" w:rsidRPr="00DB25D2" w:rsidRDefault="0029288F" w:rsidP="0029288F">
      <w:pPr>
        <w:tabs>
          <w:tab w:val="left" w:pos="975"/>
        </w:tabs>
        <w:spacing w:after="0"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14:paraId="7435F229" w14:textId="4CB81377" w:rsidR="0029288F" w:rsidRPr="00DB25D2" w:rsidRDefault="0029288F" w:rsidP="0029288F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НАЕТИ ЛИЦА И СРЕДНА БРУТНА РАБОТНА ЗАПЛАТА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В ОБЛАСТ СЛИВЕН ПРЕЗ </w:t>
      </w:r>
      <w:r w:rsidR="00A96E28">
        <w:rPr>
          <w:rFonts w:ascii="Verdana" w:eastAsia="Μοντέρνα" w:hAnsi="Verdana" w:cs="Times New Roman"/>
          <w:b/>
          <w:sz w:val="20"/>
          <w:szCs w:val="20"/>
          <w:lang w:eastAsia="bg-BG"/>
        </w:rPr>
        <w:t>ТРЕТО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b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 ГОДИНА</w:t>
      </w:r>
    </w:p>
    <w:p w14:paraId="5498170A" w14:textId="63FB7CEF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По предварителни данни на Националния статистически институт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броят на наетите лица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по трудово и служебно правоотношение в област Сливен към края на </w:t>
      </w:r>
      <w:r w:rsidR="002F7B89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намалява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0.2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хил., или 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0.6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спрямо края на </w:t>
      </w:r>
      <w:r w:rsidR="002F7B89">
        <w:rPr>
          <w:rFonts w:ascii="Verdana" w:eastAsia="Μοντέρνα" w:hAnsi="Verdana" w:cs="Times New Roman"/>
          <w:sz w:val="20"/>
          <w:szCs w:val="20"/>
          <w:lang w:eastAsia="bg-BG"/>
        </w:rPr>
        <w:t>юни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като достига 3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  <w:r w:rsidR="002F7B89"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="00FE106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хиляди</w:t>
      </w:r>
      <w:r w:rsidR="007909E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7909E3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(</w:t>
      </w:r>
      <w:r w:rsidR="007909E3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виж </w:t>
      </w:r>
      <w:r w:rsidR="007909E3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фиг. 1)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14:paraId="01C70F28" w14:textId="77777777" w:rsidR="006E5BD1" w:rsidRDefault="0029288F" w:rsidP="006E5BD1">
      <w:pPr>
        <w:keepNext/>
        <w:tabs>
          <w:tab w:val="left" w:pos="3123"/>
        </w:tabs>
        <w:spacing w:after="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 xml:space="preserve">Фиг. 1. Наети лица по трудово и служебно правоотношение </w:t>
      </w:r>
      <w:r w:rsidR="006E5BD1">
        <w:rPr>
          <w:rFonts w:ascii="Verdana" w:eastAsia="Μοντέρνα" w:hAnsi="Verdana" w:cs="Times New Roman"/>
          <w:b/>
          <w:sz w:val="20"/>
          <w:szCs w:val="20"/>
          <w:lang w:eastAsia="bg-BG"/>
        </w:rPr>
        <w:t>по месеци</w:t>
      </w:r>
    </w:p>
    <w:p w14:paraId="69B8B61E" w14:textId="4224330B" w:rsidR="0029288F" w:rsidRPr="006E5BD1" w:rsidRDefault="0029288F" w:rsidP="006E5BD1">
      <w:pPr>
        <w:keepNext/>
        <w:tabs>
          <w:tab w:val="left" w:pos="3123"/>
        </w:tabs>
        <w:spacing w:after="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14:paraId="6E2F94C8" w14:textId="451960B3" w:rsidR="0029288F" w:rsidRPr="00DB25D2" w:rsidRDefault="00AE6324" w:rsidP="0029288F">
      <w:pPr>
        <w:tabs>
          <w:tab w:val="left" w:pos="3123"/>
        </w:tabs>
        <w:spacing w:after="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799F928F" wp14:editId="3073FBD1">
            <wp:extent cx="5760085" cy="360299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26BAE79" w14:textId="29DFEE6D" w:rsidR="0029288F" w:rsidRPr="00DB25D2" w:rsidRDefault="0029288F" w:rsidP="0029288F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Спрямо края на 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наетите лица в обществения сектор 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се увеличават</w:t>
      </w:r>
      <w:r w:rsidR="00FA2019"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1.2</w:t>
      </w:r>
      <w:r w:rsidR="00FA2019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, а в частния сектор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намаляват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1.4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</w:t>
      </w:r>
      <w:r w:rsidR="00951B49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и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достигат до </w:t>
      </w:r>
      <w:r w:rsidR="00FA2019" w:rsidRPr="00835EAC">
        <w:rPr>
          <w:rFonts w:ascii="Verdana" w:eastAsia="Μοντέρνα" w:hAnsi="Verdana" w:cs="Times New Roman"/>
          <w:sz w:val="20"/>
          <w:szCs w:val="20"/>
          <w:lang w:eastAsia="bg-BG"/>
        </w:rPr>
        <w:t>24.7</w:t>
      </w:r>
      <w:r w:rsidRPr="00835EAC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хил</w:t>
      </w:r>
      <w:r w:rsidR="00951B49">
        <w:rPr>
          <w:rFonts w:ascii="Verdana" w:eastAsia="Μοντέρνα" w:hAnsi="Verdana" w:cs="Times New Roman"/>
          <w:sz w:val="20"/>
          <w:szCs w:val="20"/>
          <w:lang w:eastAsia="bg-BG"/>
        </w:rPr>
        <w:t>яди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.</w:t>
      </w:r>
    </w:p>
    <w:p w14:paraId="68112E7F" w14:textId="6AED4681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Спрямо края на </w:t>
      </w:r>
      <w:r w:rsidR="002F7B89">
        <w:rPr>
          <w:rFonts w:ascii="Verdana" w:eastAsia="Μοντέρνα" w:hAnsi="Verdana" w:cs="Times New Roman"/>
          <w:sz w:val="20"/>
          <w:szCs w:val="20"/>
          <w:lang w:eastAsia="bg-BG"/>
        </w:rPr>
        <w:t>юни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най-голямо намаление на наетите лица по трудово и служебно правоотношение в абсолютна стойност е регистрирано в икономическите дейности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FA2019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“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Строителство“, </w:t>
      </w:r>
      <w:r w:rsidR="00FA2019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„Преработваща промишленост“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</w:t>
      </w:r>
      <w:r w:rsidR="00FA2019"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„Търговия; 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р</w:t>
      </w:r>
      <w:r w:rsidR="00FA2019"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емонт на автомобили и мотоциклети“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. Най-голямо увеличение на наетите лица се наблюдава в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>икономическите дейности: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„</w:t>
      </w:r>
      <w:r w:rsidR="00FA2019" w:rsidRPr="003940A5">
        <w:rPr>
          <w:rFonts w:ascii="Verdana" w:eastAsia="Μοντέρνα" w:hAnsi="Verdana" w:cs="Times New Roman"/>
          <w:sz w:val="20"/>
          <w:szCs w:val="20"/>
          <w:lang w:eastAsia="bg-BG"/>
        </w:rPr>
        <w:t>Хотелиерство и ресторантьорство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“,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„Хуманно здравеопазване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F131BD">
        <w:rPr>
          <w:rFonts w:ascii="Verdana" w:eastAsia="Μοντέρνα" w:hAnsi="Verdana" w:cs="Times New Roman"/>
          <w:sz w:val="20"/>
          <w:szCs w:val="20"/>
          <w:lang w:eastAsia="bg-BG"/>
        </w:rPr>
        <w:t>и социална работа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“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и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"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Финансови и застрахователни дейности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”.</w:t>
      </w:r>
    </w:p>
    <w:p w14:paraId="7631B678" w14:textId="7CE53839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края на </w:t>
      </w:r>
      <w:r w:rsidR="002F7B89">
        <w:rPr>
          <w:rFonts w:ascii="Verdana" w:eastAsia="Μοντέρνα" w:hAnsi="Verdana" w:cs="Times New Roman"/>
          <w:sz w:val="20"/>
          <w:szCs w:val="20"/>
          <w:lang w:eastAsia="bg-BG"/>
        </w:rPr>
        <w:t>септември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броят на наетите лица по трудово и служебно правоотношение в област Сливен 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се увеличава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с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0.</w:t>
      </w:r>
      <w:r w:rsidR="00E74E66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в сравнение със същия период на предходната година. В обществения сектор наетите се увеличават с </w:t>
      </w:r>
      <w:r w:rsidR="00E74E66">
        <w:rPr>
          <w:rFonts w:ascii="Verdana" w:eastAsia="Μοντέρνα" w:hAnsi="Verdana" w:cs="Times New Roman"/>
          <w:sz w:val="20"/>
          <w:szCs w:val="20"/>
          <w:lang w:eastAsia="bg-BG"/>
        </w:rPr>
        <w:t>1.0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а в частния сектор намаляват с </w:t>
      </w:r>
      <w:r w:rsidR="00E74E66">
        <w:rPr>
          <w:rFonts w:ascii="Verdana" w:eastAsia="Μοντέρνα" w:hAnsi="Verdana" w:cs="Times New Roman"/>
          <w:sz w:val="20"/>
          <w:szCs w:val="20"/>
          <w:lang w:eastAsia="bg-BG"/>
        </w:rPr>
        <w:t>0.2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14:paraId="6C320EDB" w14:textId="76E92061" w:rsidR="0029288F" w:rsidRPr="00410EF7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410EF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структурата на наетите лица по икономически дейности най-голям е относителният дял на наетите по трудово и служебно правоотношение в дейностите </w:t>
      </w:r>
      <w:bookmarkStart w:id="0" w:name="_Hlk214664613"/>
      <w:r w:rsidRPr="00410EF7">
        <w:rPr>
          <w:rFonts w:ascii="Verdana" w:eastAsia="Μοντέρνα" w:hAnsi="Verdana" w:cs="Times New Roman"/>
          <w:sz w:val="20"/>
          <w:szCs w:val="20"/>
          <w:lang w:eastAsia="bg-BG"/>
        </w:rPr>
        <w:t>„Преработваща промишленост“</w:t>
      </w:r>
      <w:bookmarkEnd w:id="0"/>
      <w:r w:rsidRPr="00410EF7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- 25.</w:t>
      </w:r>
      <w:r w:rsidR="00410EF7">
        <w:rPr>
          <w:rFonts w:ascii="Verdana" w:eastAsia="Μοντέρνα" w:hAnsi="Verdana" w:cs="Times New Roman"/>
          <w:sz w:val="20"/>
          <w:szCs w:val="20"/>
          <w:lang w:val="en-US" w:eastAsia="bg-BG"/>
        </w:rPr>
        <w:t>5</w:t>
      </w:r>
      <w:r w:rsidRPr="00410EF7">
        <w:rPr>
          <w:rFonts w:ascii="Verdana" w:eastAsia="Μοντέρνα" w:hAnsi="Verdana" w:cs="Times New Roman"/>
          <w:sz w:val="20"/>
          <w:szCs w:val="20"/>
          <w:lang w:eastAsia="bg-BG"/>
        </w:rPr>
        <w:t>%, „Търговия; ремонт на автомобили и мотоциклети“ - 15.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 w:rsidRPr="00410EF7">
        <w:rPr>
          <w:rFonts w:ascii="Verdana" w:eastAsia="Μοντέρνα" w:hAnsi="Verdana" w:cs="Times New Roman"/>
          <w:sz w:val="20"/>
          <w:szCs w:val="20"/>
          <w:lang w:eastAsia="bg-BG"/>
        </w:rPr>
        <w:t>% и „Хуманно здравеопазване и социална работа“ - 13.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6</w:t>
      </w:r>
      <w:r w:rsidRPr="00410EF7">
        <w:rPr>
          <w:rFonts w:ascii="Verdana" w:eastAsia="Μοντέρνα" w:hAnsi="Verdana" w:cs="Times New Roman"/>
          <w:sz w:val="20"/>
          <w:szCs w:val="20"/>
          <w:lang w:eastAsia="bg-BG"/>
        </w:rPr>
        <w:t>%.</w:t>
      </w:r>
    </w:p>
    <w:p w14:paraId="5770CBBD" w14:textId="6DC71CAE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област Сливен </w:t>
      </w: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средната брутна месечна работна заплата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през </w:t>
      </w:r>
      <w:r w:rsidR="00A96E28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1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885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лв., при 2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5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49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 средна за страната.</w:t>
      </w:r>
    </w:p>
    <w:p w14:paraId="1D44E5F5" w14:textId="647A4240" w:rsidR="0029288F" w:rsidRDefault="0029288F" w:rsidP="0029288F">
      <w:pPr>
        <w:keepNext/>
        <w:tabs>
          <w:tab w:val="left" w:pos="3123"/>
        </w:tabs>
        <w:spacing w:before="160" w:after="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Фиг. 2. Средна брутна месечна работна заплата по тримесечия</w:t>
      </w:r>
    </w:p>
    <w:p w14:paraId="7736A8BD" w14:textId="77777777" w:rsidR="0029288F" w:rsidRPr="00141A65" w:rsidRDefault="0029288F" w:rsidP="0029288F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в област Сливен</w:t>
      </w:r>
    </w:p>
    <w:p w14:paraId="06F45878" w14:textId="71231823" w:rsidR="0029288F" w:rsidRDefault="006E5BD1" w:rsidP="0029288F">
      <w:pPr>
        <w:tabs>
          <w:tab w:val="left" w:pos="3123"/>
        </w:tabs>
        <w:spacing w:after="0" w:line="360" w:lineRule="auto"/>
        <w:jc w:val="center"/>
        <w:rPr>
          <w:rFonts w:ascii="Verdana" w:eastAsia="Μοντέρνα" w:hAnsi="Verdana" w:cs="Times New Roman"/>
          <w:b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6A61E934" wp14:editId="1BBC62F7">
            <wp:extent cx="5760085" cy="368046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3494F44B-3C2B-455B-8146-D80C4548C6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F2A62B" w14:textId="5FFCCC02" w:rsidR="0029288F" w:rsidRPr="00DB25D2" w:rsidRDefault="0029288F" w:rsidP="0029288F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 сравнение с останалите области на страната, по показателя средна брутна месечна работна заплата през </w:t>
      </w:r>
      <w:r w:rsidR="00A96E28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г., област Сливен се нарежда на 2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-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р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о място. Най-висока средна работна заплата получават наетите в област София (столица) - 3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74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лв., а най-ниска - в областите 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Видин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783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лв. и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Кюстендил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- 1 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7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62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лева.</w:t>
      </w:r>
    </w:p>
    <w:p w14:paraId="05DDB0C4" w14:textId="26045490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lastRenderedPageBreak/>
        <w:t xml:space="preserve">През </w:t>
      </w:r>
      <w:r w:rsidR="00A96E28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средната месечна работна заплата за област Сливен 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намалява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спрямо </w:t>
      </w:r>
      <w:r w:rsidR="00FA2019">
        <w:rPr>
          <w:rFonts w:ascii="Verdana" w:eastAsia="Μοντέρνα" w:hAnsi="Verdana" w:cs="Times New Roman"/>
          <w:sz w:val="20"/>
          <w:szCs w:val="20"/>
          <w:lang w:eastAsia="bg-BG"/>
        </w:rPr>
        <w:t>второ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 </w:t>
      </w:r>
      <w:r w:rsidR="00410EF7">
        <w:rPr>
          <w:rFonts w:ascii="Verdana" w:eastAsia="Μοντέρνα" w:hAnsi="Verdana" w:cs="Times New Roman"/>
          <w:sz w:val="20"/>
          <w:szCs w:val="20"/>
          <w:lang w:eastAsia="bg-BG"/>
        </w:rPr>
        <w:t>1.8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%, като в обществения сектор </w:t>
      </w:r>
      <w:r w:rsidR="007950B7">
        <w:rPr>
          <w:rFonts w:ascii="Verdana" w:eastAsia="Μοντέρνα" w:hAnsi="Verdana" w:cs="Times New Roman"/>
          <w:sz w:val="20"/>
          <w:szCs w:val="20"/>
          <w:lang w:eastAsia="bg-BG"/>
        </w:rPr>
        <w:t>бележи спад от 3.0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 и достига 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</w:t>
      </w:r>
      <w:r w:rsidR="003E780C">
        <w:rPr>
          <w:rFonts w:ascii="Verdana" w:eastAsia="Μοντέρνα" w:hAnsi="Verdana" w:cs="Times New Roman"/>
          <w:sz w:val="20"/>
          <w:szCs w:val="20"/>
          <w:lang w:eastAsia="bg-BG"/>
        </w:rPr>
        <w:t>333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лв., а в частния </w:t>
      </w:r>
      <w:r w:rsidR="003E780C">
        <w:rPr>
          <w:rFonts w:ascii="Verdana" w:eastAsia="Μοντέρνα" w:hAnsi="Verdana" w:cs="Times New Roman"/>
          <w:sz w:val="20"/>
          <w:szCs w:val="20"/>
          <w:lang w:eastAsia="bg-BG"/>
        </w:rPr>
        <w:t>-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с </w:t>
      </w:r>
      <w:r w:rsidR="003E780C">
        <w:rPr>
          <w:rFonts w:ascii="Verdana" w:eastAsia="Μοντέρνα" w:hAnsi="Verdana" w:cs="Times New Roman"/>
          <w:sz w:val="20"/>
          <w:szCs w:val="20"/>
          <w:lang w:eastAsia="bg-BG"/>
        </w:rPr>
        <w:t>1.0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%, достигайки 1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 6</w:t>
      </w:r>
      <w:r w:rsidR="003E780C">
        <w:rPr>
          <w:rFonts w:ascii="Verdana" w:eastAsia="Μοντέρνα" w:hAnsi="Verdana" w:cs="Times New Roman"/>
          <w:sz w:val="20"/>
          <w:szCs w:val="20"/>
          <w:lang w:eastAsia="bg-BG"/>
        </w:rPr>
        <w:t>70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лева.</w:t>
      </w:r>
    </w:p>
    <w:p w14:paraId="24D30D52" w14:textId="2DB21E0C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val="en-US"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През </w:t>
      </w:r>
      <w:r w:rsidR="00A96E28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то тримесечие на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2025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г. средната месечна работна заплата за област Сливен нараства с </w:t>
      </w:r>
      <w:r w:rsidR="003E780C">
        <w:rPr>
          <w:rFonts w:ascii="Verdana" w:eastAsia="Μοντέρνα" w:hAnsi="Verdana" w:cs="Times New Roman"/>
          <w:sz w:val="20"/>
          <w:szCs w:val="20"/>
          <w:lang w:eastAsia="bg-BG"/>
        </w:rPr>
        <w:t>12.9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% в сравнение с </w:t>
      </w:r>
      <w:r w:rsidR="00A96E28">
        <w:rPr>
          <w:rFonts w:ascii="Verdana" w:eastAsia="Μοντέρνα" w:hAnsi="Verdana" w:cs="Times New Roman"/>
          <w:sz w:val="20"/>
          <w:szCs w:val="20"/>
          <w:lang w:eastAsia="bg-BG"/>
        </w:rPr>
        <w:t>трето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4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 година (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виж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фиг. 2).</w:t>
      </w:r>
    </w:p>
    <w:p w14:paraId="4FB2CC85" w14:textId="72B196FE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Най-висока средна брутна месечна заплата получават наетите в секторите 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 xml:space="preserve">„Финансови и застрахователни дейности“, </w:t>
      </w:r>
      <w:r w:rsidR="003E780C" w:rsidRPr="00DB25D2">
        <w:rPr>
          <w:rFonts w:ascii="Verdana" w:eastAsia="Μοντέρνα" w:hAnsi="Verdana" w:cs="Times New Roman"/>
          <w:sz w:val="20"/>
          <w:szCs w:val="20"/>
          <w:lang w:eastAsia="bg-BG"/>
        </w:rPr>
        <w:t xml:space="preserve">„Държавно управление“ и 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„</w:t>
      </w:r>
      <w:r>
        <w:rPr>
          <w:rFonts w:ascii="Verdana" w:eastAsia="Μοντέρνα" w:hAnsi="Verdana" w:cs="Times New Roman"/>
          <w:sz w:val="20"/>
          <w:szCs w:val="20"/>
          <w:lang w:eastAsia="bg-BG"/>
        </w:rPr>
        <w:t>Образование</w:t>
      </w: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“.</w:t>
      </w:r>
    </w:p>
    <w:p w14:paraId="195CD9F8" w14:textId="77777777" w:rsidR="0029288F" w:rsidRPr="00DB25D2" w:rsidRDefault="0029288F" w:rsidP="0029288F">
      <w:pPr>
        <w:tabs>
          <w:tab w:val="left" w:pos="3123"/>
        </w:tabs>
        <w:spacing w:before="160" w:line="360" w:lineRule="auto"/>
        <w:jc w:val="center"/>
        <w:rPr>
          <w:rFonts w:ascii="Verdana" w:eastAsia="Μοντέρνα" w:hAnsi="Verdana" w:cs="Times New Roman"/>
          <w:sz w:val="20"/>
          <w:szCs w:val="20"/>
          <w:lang w:eastAsia="bg-BG"/>
        </w:rPr>
      </w:pPr>
      <w:bookmarkStart w:id="1" w:name="_GoBack"/>
      <w:r w:rsidRPr="00DB25D2">
        <w:rPr>
          <w:rFonts w:ascii="Verdana" w:eastAsia="Μοντέρνα" w:hAnsi="Verdana" w:cs="Times New Roman"/>
          <w:b/>
          <w:sz w:val="20"/>
          <w:szCs w:val="20"/>
          <w:lang w:eastAsia="bg-BG"/>
        </w:rPr>
        <w:t>Методологични бележки</w:t>
      </w:r>
    </w:p>
    <w:bookmarkEnd w:id="1"/>
    <w:p w14:paraId="1A22B5CB" w14:textId="77777777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Данните са получени от тримесечното Наблюдение на наетите лица, отработеното време, средствата за работна заплата и други разходи за труд, което има за цел да изследва текущото състояние и динамика на основни аспекти на пазара на труда.</w:t>
      </w:r>
    </w:p>
    <w:p w14:paraId="40A4F726" w14:textId="77777777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Наблюдението е репрезентативно, като се използва стратифицирана случайна извадка от предприятия. Генералната съвкупност се стратифицира по следните критерии: териториален признак - 28 административни области, икономическа дейност по КИД-2008 и размер на предприятието, според броя на наетите лица.</w:t>
      </w:r>
    </w:p>
    <w:p w14:paraId="13AA54CF" w14:textId="77777777" w:rsidR="0029288F" w:rsidRPr="00DB25D2" w:rsidRDefault="0029288F" w:rsidP="0029288F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 w:cs="Times New Roman"/>
          <w:sz w:val="20"/>
          <w:szCs w:val="20"/>
          <w:lang w:eastAsia="bg-BG"/>
        </w:rPr>
      </w:pPr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Повече информация и данни за наетите лица, отработеното време, средствата за работна заплата и други разходи за труд са достъпни в Информационна система „Инфостат“ (</w:t>
      </w:r>
      <w:hyperlink r:id="rId8" w:history="1">
        <w:r w:rsidRPr="00DB25D2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https://infostat.nsi.bg/infostat/pages/module.jsf?x_2=93</w:t>
        </w:r>
      </w:hyperlink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) и на сайта на НСИ, раздел „Пазар на труда“ (</w:t>
      </w:r>
      <w:hyperlink r:id="rId9" w:history="1">
        <w:r w:rsidRPr="00DB25D2">
          <w:rPr>
            <w:rFonts w:ascii="Verdana" w:eastAsia="Μοντέρνα" w:hAnsi="Verdana" w:cs="Times New Roman"/>
            <w:color w:val="0563C1" w:themeColor="hyperlink"/>
            <w:sz w:val="20"/>
            <w:szCs w:val="20"/>
            <w:u w:val="single"/>
            <w:lang w:eastAsia="bg-BG"/>
          </w:rPr>
          <w:t>http://www.nsi.bg/node/3920/</w:t>
        </w:r>
      </w:hyperlink>
      <w:r w:rsidRPr="00DB25D2">
        <w:rPr>
          <w:rFonts w:ascii="Verdana" w:eastAsia="Μοντέρνα" w:hAnsi="Verdana" w:cs="Times New Roman"/>
          <w:sz w:val="20"/>
          <w:szCs w:val="20"/>
          <w:lang w:eastAsia="bg-BG"/>
        </w:rPr>
        <w:t>).</w:t>
      </w:r>
    </w:p>
    <w:p w14:paraId="0884412D" w14:textId="77777777" w:rsidR="0029288F" w:rsidRDefault="0029288F" w:rsidP="0029288F"/>
    <w:p w14:paraId="54C502C2" w14:textId="77777777" w:rsidR="00265ACF" w:rsidRDefault="00265ACF"/>
    <w:sectPr w:rsidR="00265ACF" w:rsidSect="00CD141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B3A6E" w14:textId="77777777" w:rsidR="00A20719" w:rsidRDefault="00A20719">
      <w:pPr>
        <w:spacing w:after="0" w:line="240" w:lineRule="auto"/>
      </w:pPr>
      <w:r>
        <w:separator/>
      </w:r>
    </w:p>
  </w:endnote>
  <w:endnote w:type="continuationSeparator" w:id="0">
    <w:p w14:paraId="7334AD96" w14:textId="77777777" w:rsidR="00A20719" w:rsidRDefault="00A2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FECF" w14:textId="77777777" w:rsidR="00D96B62" w:rsidRPr="005818FA" w:rsidRDefault="0029288F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89938D4" wp14:editId="6925DEA7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53D9A3A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CDB8B00" wp14:editId="3D707324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9AB6E25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FDF489" wp14:editId="329AF80C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69333" w14:textId="16506E25" w:rsidR="00D96B62" w:rsidRPr="00DD11CB" w:rsidRDefault="0029288F" w:rsidP="000543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965BD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FDF48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14:paraId="55B69333" w14:textId="16506E25" w:rsidR="00D96B62" w:rsidRPr="00DD11CB" w:rsidRDefault="0029288F" w:rsidP="000543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965BD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14:paraId="1FC74F73" w14:textId="77777777" w:rsidR="00D96B62" w:rsidRPr="00054328" w:rsidRDefault="0029288F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0CFD" w14:textId="77777777" w:rsidR="00D96B62" w:rsidRPr="00004FE5" w:rsidRDefault="0029288F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3B87A" wp14:editId="1D88CD21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8B913" w14:textId="6F04BF20" w:rsidR="00D96B62" w:rsidRPr="00DD11CB" w:rsidRDefault="0029288F" w:rsidP="00654814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965BD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C3B87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14:paraId="3A58B913" w14:textId="6F04BF20" w:rsidR="00D96B62" w:rsidRPr="00DD11CB" w:rsidRDefault="0029288F" w:rsidP="00654814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965BD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32364B" wp14:editId="3559A3C7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268A600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" fillcolor="#a5a5a5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E5239" w14:textId="77777777" w:rsidR="00A20719" w:rsidRDefault="00A20719">
      <w:pPr>
        <w:spacing w:after="0" w:line="240" w:lineRule="auto"/>
      </w:pPr>
      <w:r>
        <w:separator/>
      </w:r>
    </w:p>
  </w:footnote>
  <w:footnote w:type="continuationSeparator" w:id="0">
    <w:p w14:paraId="6A4A2669" w14:textId="77777777" w:rsidR="00A20719" w:rsidRDefault="00A2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097F8" w14:textId="77777777" w:rsidR="00D96B62" w:rsidRPr="00054328" w:rsidRDefault="0029288F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C36FCC" wp14:editId="13A4E95C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542DA" w14:textId="421B5A65" w:rsidR="00D96B62" w:rsidRPr="00DB25D2" w:rsidRDefault="0029288F" w:rsidP="00890D23">
                            <w:pPr>
                              <w:tabs>
                                <w:tab w:val="left" w:pos="3123"/>
                              </w:tabs>
                              <w:spacing w:after="0"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НАЕТИ ЛИЦА И СРЕДНА БРУТНА РАБОТНА ЗАПЛАТА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В ОБЛАСТ СЛИВЕН ПРЕЗ </w:t>
                            </w:r>
                            <w:r w:rsidR="00A96E28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ТРЕТО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ТО ТРИМЕСЕЧИЕ НА </w:t>
                            </w:r>
                            <w:r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>2025</w:t>
                            </w:r>
                            <w:r w:rsidRPr="00DB25D2"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  <w:t xml:space="preserve"> ГОДИНА</w:t>
                            </w:r>
                          </w:p>
                          <w:p w14:paraId="3FB29D9B" w14:textId="77777777" w:rsidR="00D96B62" w:rsidRPr="00101DE0" w:rsidRDefault="00D96B62" w:rsidP="0005432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C36FCC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791542DA" w14:textId="421B5A65" w:rsidR="00D96B62" w:rsidRPr="00DB25D2" w:rsidRDefault="0029288F" w:rsidP="00890D23">
                      <w:pPr>
                        <w:tabs>
                          <w:tab w:val="left" w:pos="3123"/>
                        </w:tabs>
                        <w:spacing w:after="0" w:line="360" w:lineRule="auto"/>
                        <w:jc w:val="center"/>
                        <w:rPr>
                          <w:rFonts w:ascii="Verdana" w:eastAsia="Μοντέρνα" w:hAnsi="Verdana" w:cs="Times New Roman"/>
                          <w:sz w:val="20"/>
                          <w:szCs w:val="20"/>
                          <w:lang w:eastAsia="bg-BG"/>
                        </w:rPr>
                      </w:pP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НАЕТИ ЛИЦА И СРЕДНА БРУТНА РАБОТНА ЗАПЛАТА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В ОБЛАСТ СЛИВЕН ПРЕЗ </w:t>
                      </w:r>
                      <w:r w:rsidR="00A96E28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ТРЕТО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ТО ТРИМЕСЕЧИЕ НА </w:t>
                      </w:r>
                      <w:r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>2025</w:t>
                      </w:r>
                      <w:r w:rsidRPr="00DB25D2"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  <w:t xml:space="preserve"> ГОДИНА</w:t>
                      </w:r>
                    </w:p>
                    <w:p w14:paraId="3FB29D9B" w14:textId="77777777" w:rsidR="00D96B62" w:rsidRPr="00101DE0" w:rsidRDefault="00D96B62" w:rsidP="0005432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001B5" w14:textId="77777777" w:rsidR="00D96B62" w:rsidRPr="009E4021" w:rsidRDefault="0029288F" w:rsidP="003E6893">
    <w:pPr>
      <w:pStyle w:val="BodyText"/>
      <w:spacing w:before="188"/>
      <w:rPr>
        <w:rFonts w:ascii="Viol" w:hAnsi="Viol"/>
      </w:rPr>
    </w:pP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2ABAC0" wp14:editId="484B4226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10025" cy="609600"/>
              <wp:effectExtent l="0" t="0" r="9525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E32CC" w14:textId="77777777" w:rsidR="00D96B62" w:rsidRDefault="0029288F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14:paraId="759FA588" w14:textId="77777777" w:rsidR="00D96B62" w:rsidRPr="00FD731D" w:rsidRDefault="0029288F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ABAC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15.7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" stroked="f">
              <v:textbox>
                <w:txbxContent>
                  <w:p w14:paraId="436E32CC" w14:textId="77777777" w:rsidR="00D96B62" w:rsidRDefault="0029288F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14:paraId="759FA588" w14:textId="77777777" w:rsidR="00D96B62" w:rsidRPr="00FD731D" w:rsidRDefault="0029288F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0A3582F3" wp14:editId="41ED6145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255" name="Picture 2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B9685C" wp14:editId="45E57886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B7BBA8E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0F4D8420" wp14:editId="2BD27221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3711FCC" wp14:editId="65DDBDB5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30148E17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8F"/>
    <w:rsid w:val="002173BE"/>
    <w:rsid w:val="00265ACF"/>
    <w:rsid w:val="0029288F"/>
    <w:rsid w:val="002F7B89"/>
    <w:rsid w:val="003965BD"/>
    <w:rsid w:val="003E780C"/>
    <w:rsid w:val="00410EF7"/>
    <w:rsid w:val="005175A9"/>
    <w:rsid w:val="005B5ADC"/>
    <w:rsid w:val="006A3C92"/>
    <w:rsid w:val="006E5BD1"/>
    <w:rsid w:val="007909E3"/>
    <w:rsid w:val="007950B7"/>
    <w:rsid w:val="00803271"/>
    <w:rsid w:val="00835EAC"/>
    <w:rsid w:val="008959B4"/>
    <w:rsid w:val="009201EF"/>
    <w:rsid w:val="00951B49"/>
    <w:rsid w:val="009F2DE2"/>
    <w:rsid w:val="00A20719"/>
    <w:rsid w:val="00A96E28"/>
    <w:rsid w:val="00AC1F05"/>
    <w:rsid w:val="00AE6324"/>
    <w:rsid w:val="00B40BF8"/>
    <w:rsid w:val="00BE73D4"/>
    <w:rsid w:val="00C56083"/>
    <w:rsid w:val="00D30994"/>
    <w:rsid w:val="00D96B62"/>
    <w:rsid w:val="00DC6300"/>
    <w:rsid w:val="00E74E66"/>
    <w:rsid w:val="00F11ECA"/>
    <w:rsid w:val="00F62147"/>
    <w:rsid w:val="00FA2019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92318"/>
  <w15:chartTrackingRefBased/>
  <w15:docId w15:val="{4D31D97E-5523-45C5-A3E9-70196AFC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928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288F"/>
  </w:style>
  <w:style w:type="paragraph" w:styleId="Header">
    <w:name w:val="header"/>
    <w:basedOn w:val="Normal"/>
    <w:link w:val="HeaderChar"/>
    <w:uiPriority w:val="99"/>
    <w:unhideWhenUsed/>
    <w:rsid w:val="0029288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9288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88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288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.nsi.bg/infostat/pages/module.jsf?x_2=93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si.bg/node/3920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EDII\Naeti_sr_rz\Trud_2025\Tablici_Naeti_3_2025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MEDII\Naeti_sr_rz\Trud_2025\Tablici_Naeti_3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023194970213116E-2"/>
          <c:y val="7.0497003877335207E-2"/>
          <c:w val="0.88872369070942525"/>
          <c:h val="0.751203306142953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" sourceLinked="0"/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IX 2024</c:v>
                </c:pt>
                <c:pt idx="1">
                  <c:v>X 2024</c:v>
                </c:pt>
                <c:pt idx="2">
                  <c:v>XI 2024</c:v>
                </c:pt>
                <c:pt idx="3">
                  <c:v>XII 2024</c:v>
                </c:pt>
                <c:pt idx="4">
                  <c:v>I 2025</c:v>
                </c:pt>
                <c:pt idx="5">
                  <c:v>II 2025</c:v>
                </c:pt>
                <c:pt idx="6">
                  <c:v>III 2025</c:v>
                </c:pt>
                <c:pt idx="7">
                  <c:v>IV 2025</c:v>
                </c:pt>
                <c:pt idx="8">
                  <c:v>V 2025</c:v>
                </c:pt>
                <c:pt idx="9">
                  <c:v>VI 2025</c:v>
                </c:pt>
                <c:pt idx="10">
                  <c:v>VII 2025</c:v>
                </c:pt>
                <c:pt idx="11">
                  <c:v>VIII 2025</c:v>
                </c:pt>
                <c:pt idx="12">
                  <c:v>IX 2025</c:v>
                </c:pt>
              </c:strCache>
            </c:strRef>
          </c:cat>
          <c:val>
            <c:numRef>
              <c:f>Sheet1!$B$2:$B$14</c:f>
              <c:numCache>
                <c:formatCode>0</c:formatCode>
                <c:ptCount val="13"/>
                <c:pt idx="0">
                  <c:v>36991</c:v>
                </c:pt>
                <c:pt idx="1">
                  <c:v>36992</c:v>
                </c:pt>
                <c:pt idx="2">
                  <c:v>36563</c:v>
                </c:pt>
                <c:pt idx="3">
                  <c:v>36539</c:v>
                </c:pt>
                <c:pt idx="4">
                  <c:v>37394</c:v>
                </c:pt>
                <c:pt idx="5">
                  <c:v>37395</c:v>
                </c:pt>
                <c:pt idx="6">
                  <c:v>37496</c:v>
                </c:pt>
                <c:pt idx="7">
                  <c:v>37678</c:v>
                </c:pt>
                <c:pt idx="8">
                  <c:v>37889</c:v>
                </c:pt>
                <c:pt idx="9">
                  <c:v>37281</c:v>
                </c:pt>
                <c:pt idx="10">
                  <c:v>37558</c:v>
                </c:pt>
                <c:pt idx="11">
                  <c:v>37161</c:v>
                </c:pt>
                <c:pt idx="12">
                  <c:v>37064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12-4047-B11F-419FB770E8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244459376"/>
        <c:axId val="1244453136"/>
      </c:barChart>
      <c:catAx>
        <c:axId val="124445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1244453136"/>
        <c:crosses val="autoZero"/>
        <c:auto val="1"/>
        <c:lblAlgn val="ctr"/>
        <c:lblOffset val="100"/>
        <c:noMultiLvlLbl val="0"/>
      </c:catAx>
      <c:valAx>
        <c:axId val="1244453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solidFill>
            <a:schemeClr val="bg1"/>
          </a:solidFill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124445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>
              <a:lumMod val="95000"/>
              <a:lumOff val="5000"/>
            </a:schemeClr>
          </a:solidFill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531706486505595E-2"/>
          <c:y val="9.4161613419012274E-2"/>
          <c:w val="0.87087270341207579"/>
          <c:h val="0.70271204917276497"/>
        </c:manualLayout>
      </c:layout>
      <c:lineChart>
        <c:grouping val="standard"/>
        <c:varyColors val="0"/>
        <c:ser>
          <c:idx val="0"/>
          <c:order val="0"/>
          <c:spPr>
            <a:ln w="12700"/>
          </c:spPr>
          <c:dLbls>
            <c:dLbl>
              <c:idx val="0"/>
              <c:layout>
                <c:manualLayout>
                  <c:x val="-1.2555717493752262E-2"/>
                  <c:y val="3.6849198198051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B3A-46EF-B9CD-E19E6DAA739A}"/>
                </c:ext>
              </c:extLst>
            </c:dLbl>
            <c:dLbl>
              <c:idx val="1"/>
              <c:layout>
                <c:manualLayout>
                  <c:x val="-5.6446348429212569E-2"/>
                  <c:y val="-4.106807051417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B3A-46EF-B9CD-E19E6DAA739A}"/>
                </c:ext>
              </c:extLst>
            </c:dLbl>
            <c:dLbl>
              <c:idx val="2"/>
              <c:layout>
                <c:manualLayout>
                  <c:x val="-2.788657690738474E-2"/>
                  <c:y val="3.236743395581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B3A-46EF-B9CD-E19E6DAA739A}"/>
                </c:ext>
              </c:extLst>
            </c:dLbl>
            <c:dLbl>
              <c:idx val="3"/>
              <c:layout>
                <c:manualLayout>
                  <c:x val="-5.6446348429212603E-2"/>
                  <c:y val="-3.1489526452871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B3A-46EF-B9CD-E19E6DAA739A}"/>
                </c:ext>
              </c:extLst>
            </c:dLbl>
            <c:dLbl>
              <c:idx val="4"/>
              <c:layout>
                <c:manualLayout>
                  <c:x val="-2.584659322725422E-2"/>
                  <c:y val="3.8753129996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B3A-46EF-B9CD-E19E6DAA739A}"/>
                </c:ext>
              </c:extLst>
            </c:dLbl>
            <c:dLbl>
              <c:idx val="5"/>
              <c:layout>
                <c:manualLayout>
                  <c:x val="-5.6446348429212603E-2"/>
                  <c:y val="-4.106807051417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B3A-46EF-B9CD-E19E6DAA739A}"/>
                </c:ext>
              </c:extLst>
            </c:dLbl>
            <c:dLbl>
              <c:idx val="6"/>
              <c:layout>
                <c:manualLayout>
                  <c:x val="-3.604651162790698E-2"/>
                  <c:y val="3.8753129996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B3A-46EF-B9CD-E19E6DAA739A}"/>
                </c:ext>
              </c:extLst>
            </c:dLbl>
            <c:dLbl>
              <c:idx val="7"/>
              <c:layout>
                <c:manualLayout>
                  <c:x val="-6.2566299469604236E-2"/>
                  <c:y val="-3.14895264528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B3A-46EF-B9CD-E19E6DAA739A}"/>
                </c:ext>
              </c:extLst>
            </c:dLbl>
            <c:dLbl>
              <c:idx val="8"/>
              <c:layout>
                <c:manualLayout>
                  <c:x val="-2.6402908984850051E-2"/>
                  <c:y val="4.7429397412279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420149181826326E-2"/>
                      <c:h val="5.520505588975291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CB3A-46EF-B9CD-E19E6DAA739A}"/>
                </c:ext>
              </c:extLst>
            </c:dLbl>
            <c:dLbl>
              <c:idx val="9"/>
              <c:layout>
                <c:manualLayout>
                  <c:x val="-6.4606283149734808E-2"/>
                  <c:y val="-3.14895264528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CB3A-46EF-B9CD-E19E6DAA739A}"/>
                </c:ext>
              </c:extLst>
            </c:dLbl>
            <c:dLbl>
              <c:idx val="10"/>
              <c:layout>
                <c:manualLayout>
                  <c:x val="-1.7686658506731873E-2"/>
                  <c:y val="4.8331674057984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CB3A-46EF-B9CD-E19E6DAA739A}"/>
                </c:ext>
              </c:extLst>
            </c:dLbl>
            <c:dLbl>
              <c:idx val="11"/>
              <c:layout>
                <c:manualLayout>
                  <c:x val="-6.0526315789473761E-2"/>
                  <c:y val="-4.7453766555042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CB3A-46EF-B9CD-E19E6DAA739A}"/>
                </c:ext>
              </c:extLst>
            </c:dLbl>
            <c:dLbl>
              <c:idx val="12"/>
              <c:layout>
                <c:manualLayout>
                  <c:x val="-2.7886576907384889E-2"/>
                  <c:y val="3.236743395581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CB3A-46EF-B9CD-E19E6DAA739A}"/>
                </c:ext>
              </c:extLst>
            </c:dLbl>
            <c:dLbl>
              <c:idx val="13"/>
              <c:layout>
                <c:manualLayout>
                  <c:x val="-5.8486332109343127E-2"/>
                  <c:y val="-4.4260918534608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CB3A-46EF-B9CD-E19E6DAA739A}"/>
                </c:ext>
              </c:extLst>
            </c:dLbl>
            <c:dLbl>
              <c:idx val="14"/>
              <c:layout>
                <c:manualLayout>
                  <c:x val="-2.5846593227254182E-2"/>
                  <c:y val="5.7910218119286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CB3A-46EF-B9CD-E19E6DAA739A}"/>
                </c:ext>
              </c:extLst>
            </c:dLbl>
            <c:dLbl>
              <c:idx val="15"/>
              <c:layout>
                <c:manualLayout>
                  <c:x val="-5.6446348429212569E-2"/>
                  <c:y val="-4.7453766555042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CB3A-46EF-B9CD-E19E6DAA739A}"/>
                </c:ext>
              </c:extLst>
            </c:dLbl>
            <c:dLbl>
              <c:idx val="16"/>
              <c:layout>
                <c:manualLayout>
                  <c:x val="-2.5222872232770168E-2"/>
                  <c:y val="5.7910218119286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CB3A-46EF-B9CD-E19E6DAA739A}"/>
                </c:ext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'заплата  III 2025'!$B$3:$B$19</c:f>
              <c:strCache>
                <c:ptCount val="17"/>
                <c:pt idx="0">
                  <c:v>III 2021</c:v>
                </c:pt>
                <c:pt idx="1">
                  <c:v>IV 2021</c:v>
                </c:pt>
                <c:pt idx="2">
                  <c:v>I 2022</c:v>
                </c:pt>
                <c:pt idx="3">
                  <c:v>II 2022</c:v>
                </c:pt>
                <c:pt idx="4">
                  <c:v>III 2022</c:v>
                </c:pt>
                <c:pt idx="5">
                  <c:v>IV 2022</c:v>
                </c:pt>
                <c:pt idx="6">
                  <c:v>I 2023</c:v>
                </c:pt>
                <c:pt idx="7">
                  <c:v>II 2023</c:v>
                </c:pt>
                <c:pt idx="8">
                  <c:v>III 2023</c:v>
                </c:pt>
                <c:pt idx="9">
                  <c:v>IV 2023</c:v>
                </c:pt>
                <c:pt idx="10">
                  <c:v>I 2024</c:v>
                </c:pt>
                <c:pt idx="11">
                  <c:v>II 2024</c:v>
                </c:pt>
                <c:pt idx="12">
                  <c:v>III 2024</c:v>
                </c:pt>
                <c:pt idx="13">
                  <c:v>IV 2024</c:v>
                </c:pt>
                <c:pt idx="14">
                  <c:v>I 2025</c:v>
                </c:pt>
                <c:pt idx="15">
                  <c:v>II 2025</c:v>
                </c:pt>
                <c:pt idx="16">
                  <c:v>III 2025</c:v>
                </c:pt>
              </c:strCache>
            </c:strRef>
          </c:cat>
          <c:val>
            <c:numRef>
              <c:f>'заплата  III 2025'!$C$3:$C$19</c:f>
              <c:numCache>
                <c:formatCode>[$-10409]0</c:formatCode>
                <c:ptCount val="17"/>
                <c:pt idx="0">
                  <c:v>1093</c:v>
                </c:pt>
                <c:pt idx="1">
                  <c:v>1171</c:v>
                </c:pt>
                <c:pt idx="2">
                  <c:v>1159</c:v>
                </c:pt>
                <c:pt idx="3">
                  <c:v>1284</c:v>
                </c:pt>
                <c:pt idx="4">
                  <c:v>1285</c:v>
                </c:pt>
                <c:pt idx="5">
                  <c:v>1379</c:v>
                </c:pt>
                <c:pt idx="6">
                  <c:v>1385</c:v>
                </c:pt>
                <c:pt idx="7">
                  <c:v>1446</c:v>
                </c:pt>
                <c:pt idx="8">
                  <c:v>1495</c:v>
                </c:pt>
                <c:pt idx="9">
                  <c:v>1582</c:v>
                </c:pt>
                <c:pt idx="10">
                  <c:v>1607</c:v>
                </c:pt>
                <c:pt idx="11" formatCode="General">
                  <c:v>1673</c:v>
                </c:pt>
                <c:pt idx="12" formatCode="General">
                  <c:v>1670</c:v>
                </c:pt>
                <c:pt idx="13" formatCode="General">
                  <c:v>1785</c:v>
                </c:pt>
                <c:pt idx="14">
                  <c:v>1756</c:v>
                </c:pt>
                <c:pt idx="15">
                  <c:v>1919</c:v>
                </c:pt>
                <c:pt idx="16" formatCode="General">
                  <c:v>1885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CB3A-46EF-B9CD-E19E6DAA73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4451784"/>
        <c:axId val="1"/>
      </c:lineChart>
      <c:catAx>
        <c:axId val="604451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1000"/>
        </c:scaling>
        <c:delete val="0"/>
        <c:axPos val="l"/>
        <c:majorGridlines/>
        <c:numFmt formatCode="[$-10409]0" sourceLinked="1"/>
        <c:majorTickMark val="out"/>
        <c:minorTickMark val="none"/>
        <c:tickLblPos val="nextTo"/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604451784"/>
        <c:crosses val="autoZero"/>
        <c:crossBetween val="between"/>
        <c:majorUnit val="1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Verdana" panose="020B0604030504040204" pitchFamily="34" charset="0"/>
          <a:ea typeface="Verdana" panose="020B0604030504040204" pitchFamily="34" charset="0"/>
          <a:cs typeface="Times New Roman"/>
        </a:defRPr>
      </a:pPr>
      <a:endParaRPr lang="bg-BG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0.0678</cdr:x>
      <cdr:y>0.00793</cdr:y>
    </cdr:from>
    <cdr:to>
      <cdr:x>0.15875</cdr:x>
      <cdr:y>0.06873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90525" y="28574"/>
          <a:ext cx="523875" cy="2190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latin typeface="Verdana" panose="020B0604030504040204" pitchFamily="34" charset="0"/>
              <a:ea typeface="Verdana" panose="020B0604030504040204" pitchFamily="34" charset="0"/>
            </a:rPr>
            <a:t>Брой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0.01786</cdr:x>
      <cdr:y>0.00615</cdr:y>
    </cdr:from>
    <cdr:to>
      <cdr:x>0.12451</cdr:x>
      <cdr:y>0.09116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301" y="25441"/>
          <a:ext cx="685800" cy="3307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solidFill>
                <a:schemeClr val="tx1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itchFamily="18" charset="0"/>
            </a:rPr>
            <a:t>Левове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Dochka Kamburova</cp:lastModifiedBy>
  <cp:revision>9</cp:revision>
  <cp:lastPrinted>2025-11-24T06:42:00Z</cp:lastPrinted>
  <dcterms:created xsi:type="dcterms:W3CDTF">2025-11-24T06:47:00Z</dcterms:created>
  <dcterms:modified xsi:type="dcterms:W3CDTF">2025-11-25T16:26:00Z</dcterms:modified>
</cp:coreProperties>
</file>