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38" w:rsidRDefault="00D97C38" w:rsidP="00D97C3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bookmarkStart w:id="0" w:name="_GoBack"/>
      <w:bookmarkEnd w:id="0"/>
    </w:p>
    <w:p w:rsidR="00D97C38" w:rsidRDefault="00D97C38" w:rsidP="00D97C3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D97C38" w:rsidRDefault="00D97C38" w:rsidP="00D97C3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D97C38" w:rsidRDefault="00D97C38" w:rsidP="00D97C3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C02A32" wp14:editId="311FAA6A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C38" w:rsidRPr="004F6479" w:rsidRDefault="00D97C38" w:rsidP="00D97C38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D97C38" w:rsidRPr="004F6479" w:rsidRDefault="00D97C38" w:rsidP="00D97C38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C02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D97C38" w:rsidRPr="004F6479" w:rsidRDefault="00D97C38" w:rsidP="00D97C38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D97C38" w:rsidRPr="004F6479" w:rsidRDefault="00D97C38" w:rsidP="00D97C38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7C38" w:rsidRDefault="00D97C38" w:rsidP="00D97C3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D97C38" w:rsidRDefault="00D97C38" w:rsidP="00D97C38">
      <w:pPr>
        <w:tabs>
          <w:tab w:val="left" w:pos="3123"/>
        </w:tabs>
        <w:spacing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D97C38" w:rsidRDefault="00D97C38" w:rsidP="00D97C38">
      <w:pPr>
        <w:spacing w:before="160" w:after="160" w:line="360" w:lineRule="auto"/>
        <w:jc w:val="center"/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 xml:space="preserve">СТАТИСТИКА НА ФАМИЛНИЯ БИЗНЕС В ОБЛАСТ СЛИВЕН ПРЕЗ </w:t>
      </w:r>
      <w:r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>2024</w:t>
      </w:r>
      <w:r w:rsidRPr="00324623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 xml:space="preserve"> ГОДИНА</w:t>
      </w:r>
    </w:p>
    <w:p w:rsidR="00D97C38" w:rsidRPr="00324623" w:rsidRDefault="00D97C38" w:rsidP="00D97C3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Семейните предприятия представляват значителна част от съществуващите европейски компании, които в голяма степен допринасят за развитието на Европейската икономика. От 2015 г. Националния статистически институт провежда статистическо проучване за Семейния бизнес в България. Целта на наблюдението е да се подобри наличността на надеждни статистически данни за фамилния бизнес и да се оцени ролята на тези предприятия в българската икономика.</w:t>
      </w:r>
    </w:p>
    <w:p w:rsidR="00D97C38" w:rsidRPr="00324623" w:rsidRDefault="00D97C38" w:rsidP="00D97C3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>Данни за фамилния бизнес се събират от предприятия и организации, извършващи дейност на територията на страната. Основен източник на информация е годишната отчетност за дейността на предприятията.</w:t>
      </w:r>
    </w:p>
    <w:p w:rsidR="00D97C38" w:rsidRPr="00324623" w:rsidRDefault="00D97C38" w:rsidP="00D97C3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2024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2</w:t>
      </w:r>
      <w:r w:rsidRPr="009061F6">
        <w:rPr>
          <w:rFonts w:cs="Times New Roman"/>
        </w:rPr>
        <w:t> 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>1</w:t>
      </w:r>
      <w:r w:rsidR="007F3A5F">
        <w:rPr>
          <w:rFonts w:ascii="Verdana" w:eastAsia="Μοντέρνα" w:hAnsi="Verdana" w:cs="Times New Roman"/>
          <w:bCs/>
          <w:sz w:val="20"/>
          <w:szCs w:val="20"/>
          <w:lang w:eastAsia="bg-BG"/>
        </w:rPr>
        <w:t>60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са активните предприятия в област Сливен, които декларират, че бизнеса им е семеен. В сравнение с </w:t>
      </w:r>
      <w:r w:rsidR="007F3A5F"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2023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техния брой </w:t>
      </w:r>
      <w:r w:rsidR="007F3A5F">
        <w:rPr>
          <w:rFonts w:ascii="Verdana" w:eastAsia="Μοντέρνα" w:hAnsi="Verdana" w:cs="Times New Roman"/>
          <w:bCs/>
          <w:sz w:val="20"/>
          <w:szCs w:val="20"/>
          <w:lang w:eastAsia="bg-BG"/>
        </w:rPr>
        <w:t>намалява с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</w:t>
      </w:r>
      <w:r w:rsidR="007F3A5F">
        <w:rPr>
          <w:rFonts w:ascii="Verdana" w:eastAsia="Μοντέρνα" w:hAnsi="Verdana" w:cs="Times New Roman"/>
          <w:bCs/>
          <w:sz w:val="20"/>
          <w:szCs w:val="20"/>
          <w:lang w:eastAsia="bg-BG"/>
        </w:rPr>
        <w:t>1</w:t>
      </w:r>
      <w:r w:rsidR="0066021D">
        <w:rPr>
          <w:rFonts w:ascii="Verdana" w:eastAsia="Μοντέρνα" w:hAnsi="Verdana" w:cs="Times New Roman"/>
          <w:bCs/>
          <w:sz w:val="20"/>
          <w:szCs w:val="20"/>
          <w:lang w:eastAsia="bg-BG"/>
        </w:rPr>
        <w:t>2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, или с </w:t>
      </w:r>
      <w:r w:rsidR="007F3A5F">
        <w:rPr>
          <w:rFonts w:ascii="Verdana" w:eastAsia="Μοντέρνα" w:hAnsi="Verdana" w:cs="Times New Roman"/>
          <w:bCs/>
          <w:sz w:val="20"/>
          <w:szCs w:val="20"/>
          <w:lang w:eastAsia="bg-BG"/>
        </w:rPr>
        <w:t>0.6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%, а в сравнение с </w:t>
      </w:r>
      <w:r w:rsidR="007F3A5F">
        <w:rPr>
          <w:rFonts w:ascii="Verdana" w:eastAsia="Μοντέρνα" w:hAnsi="Verdana" w:cs="Times New Roman"/>
          <w:bCs/>
          <w:sz w:val="20"/>
          <w:szCs w:val="20"/>
          <w:lang w:eastAsia="bg-BG"/>
        </w:rPr>
        <w:t>2019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</w:t>
      </w:r>
      <w:r w:rsidR="007F3A5F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се увеличава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с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4</w:t>
      </w:r>
      <w:r w:rsidR="007F3A5F">
        <w:rPr>
          <w:rFonts w:ascii="Verdana" w:eastAsia="Μοντέρνα" w:hAnsi="Verdana" w:cs="Times New Roman"/>
          <w:bCs/>
          <w:sz w:val="20"/>
          <w:szCs w:val="20"/>
          <w:lang w:eastAsia="bg-BG"/>
        </w:rPr>
        <w:t>97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, или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</w:t>
      </w:r>
      <w:r w:rsidR="007F3A5F">
        <w:rPr>
          <w:rFonts w:ascii="Verdana" w:eastAsia="Μοντέρνα" w:hAnsi="Verdana" w:cs="Times New Roman"/>
          <w:bCs/>
          <w:sz w:val="20"/>
          <w:szCs w:val="20"/>
          <w:lang w:eastAsia="bg-BG"/>
        </w:rPr>
        <w:t>9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.9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>%.</w:t>
      </w:r>
    </w:p>
    <w:p w:rsidR="00D97C38" w:rsidRPr="00324623" w:rsidRDefault="00D97C38" w:rsidP="00D97C3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2024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на територията на област Сливен функционират 2.0% от активните фамилни предприятия в страната, което я поставя на петнадесето място. Най-много фамилни предприятия има в областите София (столица) с 21.</w:t>
      </w:r>
      <w:r w:rsidR="00964679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5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>% (2</w:t>
      </w:r>
      <w:r w:rsidR="00964679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3</w:t>
      </w:r>
      <w:r w:rsidRPr="009061F6">
        <w:rPr>
          <w:rFonts w:cs="Times New Roman"/>
        </w:rPr>
        <w:t> </w:t>
      </w:r>
      <w:r w:rsidR="00964679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257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предприятия), Пловдив с 9.</w:t>
      </w:r>
      <w:r w:rsidR="00964679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7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>% (10</w:t>
      </w:r>
      <w:r w:rsidRPr="009061F6">
        <w:rPr>
          <w:rFonts w:cs="Times New Roman"/>
        </w:rPr>
        <w:t> </w:t>
      </w:r>
      <w:r w:rsidR="00964679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481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предприятия) и Варна с 6.4% (6</w:t>
      </w:r>
      <w:r w:rsidRPr="009061F6">
        <w:rPr>
          <w:rFonts w:cs="Times New Roman"/>
        </w:rPr>
        <w:t> </w:t>
      </w:r>
      <w:r w:rsidR="00964679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950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предприятия) относителен дял на активните фамилни предприятия.</w:t>
      </w:r>
    </w:p>
    <w:p w:rsidR="00D97C38" w:rsidRDefault="00D97C38" w:rsidP="00D97C38">
      <w:pPr>
        <w:keepNext/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Фиг. 1. Активни фами</w:t>
      </w:r>
      <w:r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лни предприятия в област Сливен</w:t>
      </w:r>
    </w:p>
    <w:p w:rsidR="00D97C38" w:rsidRPr="00324623" w:rsidRDefault="00D97C38" w:rsidP="00D97C38">
      <w:pPr>
        <w:keepNext/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 xml:space="preserve">през периода </w:t>
      </w:r>
      <w:r w:rsidR="007F3A5F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2019</w:t>
      </w:r>
      <w:r w:rsidRPr="00324623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 xml:space="preserve"> - </w:t>
      </w:r>
      <w:r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2024</w:t>
      </w:r>
      <w:r w:rsidRPr="00324623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 xml:space="preserve"> година</w:t>
      </w:r>
    </w:p>
    <w:p w:rsidR="00D97C38" w:rsidRPr="00324623" w:rsidRDefault="002F173F" w:rsidP="00D97C38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27D78F00" wp14:editId="73EEB0A3">
            <wp:extent cx="4600575" cy="24955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7C38" w:rsidRDefault="00D97C38" w:rsidP="00D97C3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lastRenderedPageBreak/>
        <w:t xml:space="preserve">През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2024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броят на заетите лица в семейния бизнес в област Сливен е 6</w:t>
      </w:r>
      <w:r w:rsidRPr="009061F6">
        <w:rPr>
          <w:rFonts w:cs="Times New Roman"/>
        </w:rPr>
        <w:t> </w:t>
      </w:r>
      <w:r w:rsidR="00964679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304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>, или 1.</w:t>
      </w:r>
      <w:r w:rsidR="0066021D">
        <w:rPr>
          <w:rFonts w:ascii="Verdana" w:eastAsia="Μοντέρνα" w:hAnsi="Verdana" w:cs="Times New Roman"/>
          <w:bCs/>
          <w:sz w:val="20"/>
          <w:szCs w:val="20"/>
          <w:lang w:eastAsia="bg-BG"/>
        </w:rPr>
        <w:t>6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 от заетите лица в активните фамилни предприятия в страната. В сравнение с </w:t>
      </w:r>
      <w:r w:rsidR="007F3A5F"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2023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техния брой </w:t>
      </w:r>
      <w:r w:rsidR="00964679">
        <w:rPr>
          <w:rFonts w:ascii="Verdana" w:eastAsia="Μοντέρνα" w:hAnsi="Verdana" w:cs="Times New Roman"/>
          <w:bCs/>
          <w:sz w:val="20"/>
          <w:szCs w:val="20"/>
          <w:lang w:eastAsia="bg-BG"/>
        </w:rPr>
        <w:t>намалява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с </w:t>
      </w:r>
      <w:r w:rsidR="00964679">
        <w:rPr>
          <w:rFonts w:ascii="Verdana" w:eastAsia="Μοντέρνα" w:hAnsi="Verdana" w:cs="Times New Roman"/>
          <w:bCs/>
          <w:sz w:val="20"/>
          <w:szCs w:val="20"/>
          <w:lang w:eastAsia="bg-BG"/>
        </w:rPr>
        <w:t>355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, или с </w:t>
      </w:r>
      <w:r w:rsidR="00964679">
        <w:rPr>
          <w:rFonts w:ascii="Verdana" w:eastAsia="Μοντέρνα" w:hAnsi="Verdana" w:cs="Times New Roman"/>
          <w:bCs/>
          <w:sz w:val="20"/>
          <w:szCs w:val="20"/>
          <w:lang w:eastAsia="bg-BG"/>
        </w:rPr>
        <w:t>5.3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%, а в сравнение с </w:t>
      </w:r>
      <w:r w:rsidR="007F3A5F">
        <w:rPr>
          <w:rFonts w:ascii="Verdana" w:eastAsia="Μοντέρνα" w:hAnsi="Verdana" w:cs="Times New Roman"/>
          <w:bCs/>
          <w:sz w:val="20"/>
          <w:szCs w:val="20"/>
          <w:lang w:eastAsia="bg-BG"/>
        </w:rPr>
        <w:t>2019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</w:t>
      </w:r>
      <w:r w:rsidR="00964679">
        <w:rPr>
          <w:rFonts w:ascii="Verdana" w:eastAsia="Μοντέρνα" w:hAnsi="Verdana" w:cs="Times New Roman"/>
          <w:bCs/>
          <w:sz w:val="20"/>
          <w:szCs w:val="20"/>
          <w:lang w:eastAsia="bg-BG"/>
        </w:rPr>
        <w:t>-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с </w:t>
      </w:r>
      <w:r w:rsidR="00964679">
        <w:rPr>
          <w:rFonts w:ascii="Verdana" w:eastAsia="Μοντέρνα" w:hAnsi="Verdana" w:cs="Times New Roman"/>
          <w:bCs/>
          <w:sz w:val="20"/>
          <w:szCs w:val="20"/>
          <w:lang w:eastAsia="bg-BG"/>
        </w:rPr>
        <w:t>397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, или </w:t>
      </w:r>
      <w:r w:rsidR="00964679">
        <w:rPr>
          <w:rFonts w:ascii="Verdana" w:eastAsia="Μοντέρνα" w:hAnsi="Verdana" w:cs="Times New Roman"/>
          <w:bCs/>
          <w:sz w:val="20"/>
          <w:szCs w:val="20"/>
          <w:lang w:eastAsia="bg-BG"/>
        </w:rPr>
        <w:t>5.9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>%.</w:t>
      </w:r>
    </w:p>
    <w:p w:rsidR="00D97C38" w:rsidRPr="00324623" w:rsidRDefault="00D97C38" w:rsidP="00D97C38">
      <w:pPr>
        <w:keepNext/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Фиг. 1. Заети лица в активните фамилни предприятия в област Сливен</w:t>
      </w:r>
    </w:p>
    <w:p w:rsidR="00D97C38" w:rsidRPr="00324623" w:rsidRDefault="00D97C38" w:rsidP="00D97C38">
      <w:pPr>
        <w:keepNext/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 xml:space="preserve">през периода </w:t>
      </w:r>
      <w:r w:rsidR="007F3A5F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2019</w:t>
      </w:r>
      <w:r w:rsidRPr="00324623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 xml:space="preserve"> - </w:t>
      </w:r>
      <w:r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2024</w:t>
      </w:r>
      <w:r w:rsidRPr="00324623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 xml:space="preserve"> година</w:t>
      </w:r>
    </w:p>
    <w:p w:rsidR="00D97C38" w:rsidRPr="00324623" w:rsidRDefault="002F173F" w:rsidP="00D97C38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7F52F1CB" wp14:editId="6F6C6E05">
            <wp:extent cx="4752975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C38" w:rsidRPr="00324623" w:rsidRDefault="00D97C38" w:rsidP="00D97C3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Сливен е на деветнадесето място</w:t>
      </w:r>
      <w:r w:rsidR="00E74828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в страната според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относителен дял на заетите в активните фамилни предприятия. Първа е област София (столица) </w:t>
      </w:r>
      <w:r w:rsidRPr="00E75D3D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с </w:t>
      </w:r>
      <w:r w:rsidR="00964679">
        <w:rPr>
          <w:rFonts w:ascii="Verdana" w:eastAsia="Μοντέρνα" w:hAnsi="Verdana" w:cs="Times New Roman"/>
          <w:bCs/>
          <w:sz w:val="20"/>
          <w:szCs w:val="20"/>
          <w:lang w:eastAsia="bg-BG"/>
        </w:rPr>
        <w:t>92</w:t>
      </w:r>
      <w:r w:rsidRPr="00E75D3D">
        <w:rPr>
          <w:rFonts w:ascii="Verdana" w:hAnsi="Verdana" w:cs="Times New Roman"/>
          <w:sz w:val="20"/>
          <w:szCs w:val="20"/>
        </w:rPr>
        <w:t> </w:t>
      </w:r>
      <w:r w:rsidR="00964679">
        <w:rPr>
          <w:rFonts w:ascii="Verdana" w:hAnsi="Verdana" w:cs="Times New Roman"/>
          <w:sz w:val="20"/>
          <w:szCs w:val="20"/>
        </w:rPr>
        <w:t>211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заети, или 2</w:t>
      </w:r>
      <w:r w:rsidR="00964679">
        <w:rPr>
          <w:rFonts w:ascii="Verdana" w:eastAsia="Μοντέρνα" w:hAnsi="Verdana" w:cs="Times New Roman"/>
          <w:bCs/>
          <w:sz w:val="20"/>
          <w:szCs w:val="20"/>
          <w:lang w:eastAsia="bg-BG"/>
        </w:rPr>
        <w:t>3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.4%, следвана от област Пловдив с </w:t>
      </w:r>
      <w:r w:rsidRPr="00E74828">
        <w:rPr>
          <w:rFonts w:ascii="Verdana" w:eastAsia="Μοντέρνα" w:hAnsi="Verdana" w:cs="Times New Roman"/>
          <w:bCs/>
          <w:sz w:val="20"/>
          <w:szCs w:val="20"/>
          <w:lang w:eastAsia="bg-BG"/>
        </w:rPr>
        <w:t>4</w:t>
      </w:r>
      <w:r w:rsidR="00964679" w:rsidRPr="00E74828">
        <w:rPr>
          <w:rFonts w:ascii="Verdana" w:eastAsia="Μοντέρνα" w:hAnsi="Verdana" w:cs="Times New Roman"/>
          <w:bCs/>
          <w:sz w:val="20"/>
          <w:szCs w:val="20"/>
          <w:lang w:eastAsia="bg-BG"/>
        </w:rPr>
        <w:t>2</w:t>
      </w:r>
      <w:r w:rsidRPr="009F09D3">
        <w:rPr>
          <w:rFonts w:ascii="Verdana" w:hAnsi="Verdana" w:cs="Times New Roman"/>
          <w:sz w:val="20"/>
          <w:szCs w:val="20"/>
        </w:rPr>
        <w:t> </w:t>
      </w:r>
      <w:r w:rsidR="00964679" w:rsidRPr="009F09D3">
        <w:rPr>
          <w:rFonts w:ascii="Verdana" w:hAnsi="Verdana" w:cs="Times New Roman"/>
          <w:sz w:val="20"/>
          <w:szCs w:val="20"/>
        </w:rPr>
        <w:t>126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заети лица, или 10.7% и област Варна с </w:t>
      </w:r>
      <w:r w:rsidRPr="00E74828">
        <w:rPr>
          <w:rFonts w:ascii="Verdana" w:eastAsia="Μοντέρνα" w:hAnsi="Verdana" w:cs="Times New Roman"/>
          <w:bCs/>
          <w:sz w:val="20"/>
          <w:szCs w:val="20"/>
          <w:lang w:eastAsia="bg-BG"/>
        </w:rPr>
        <w:t>2</w:t>
      </w:r>
      <w:r w:rsidR="00964679" w:rsidRPr="00E74828">
        <w:rPr>
          <w:rFonts w:ascii="Verdana" w:eastAsia="Μοντέρνα" w:hAnsi="Verdana" w:cs="Times New Roman"/>
          <w:bCs/>
          <w:sz w:val="20"/>
          <w:szCs w:val="20"/>
          <w:lang w:eastAsia="bg-BG"/>
        </w:rPr>
        <w:t>7</w:t>
      </w:r>
      <w:r w:rsidRPr="009F09D3">
        <w:rPr>
          <w:rFonts w:ascii="Verdana" w:hAnsi="Verdana" w:cs="Times New Roman"/>
          <w:sz w:val="20"/>
          <w:szCs w:val="20"/>
        </w:rPr>
        <w:t> </w:t>
      </w:r>
      <w:r w:rsidR="00964679" w:rsidRPr="009F09D3">
        <w:rPr>
          <w:rFonts w:ascii="Verdana" w:hAnsi="Verdana" w:cs="Times New Roman"/>
          <w:sz w:val="20"/>
          <w:szCs w:val="20"/>
        </w:rPr>
        <w:t>041</w:t>
      </w:r>
      <w:r w:rsidRPr="00324623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заети, или 6.9%.</w:t>
      </w:r>
    </w:p>
    <w:p w:rsidR="00D97C38" w:rsidRDefault="00D97C38" w:rsidP="00D97C38">
      <w:pPr>
        <w:spacing w:after="160" w:line="259" w:lineRule="auto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br w:type="page"/>
      </w:r>
    </w:p>
    <w:p w:rsidR="00D97C38" w:rsidRPr="00DA5402" w:rsidRDefault="00D97C38" w:rsidP="00D97C3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val="ru-RU" w:eastAsia="bg-BG"/>
        </w:rPr>
      </w:pPr>
    </w:p>
    <w:p w:rsidR="00D97C38" w:rsidRPr="00DA5402" w:rsidRDefault="00D97C38" w:rsidP="00D97C38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b/>
          <w:sz w:val="20"/>
          <w:szCs w:val="20"/>
          <w:lang w:eastAsia="bg-BG"/>
        </w:rPr>
        <w:t>Методологични бележки</w:t>
      </w:r>
    </w:p>
    <w:p w:rsidR="00D97C38" w:rsidRPr="00DA5402" w:rsidRDefault="00D97C38" w:rsidP="00D97C3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</w:p>
    <w:p w:rsidR="00D97C38" w:rsidRPr="00324623" w:rsidRDefault="00D97C38" w:rsidP="00D97C38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sz w:val="20"/>
          <w:szCs w:val="20"/>
          <w:lang w:eastAsia="bg-BG"/>
        </w:rPr>
        <w:t>Наблюдението е изчерпателно и обхваща всички предприятия, които са попълнили раздел Фамилен бизнес в Справка за предприятието, с форма на собственост частна и класифицирани по КИД-2008.</w:t>
      </w:r>
    </w:p>
    <w:p w:rsidR="00D97C38" w:rsidRPr="00324623" w:rsidRDefault="00D97C38" w:rsidP="00D97C38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sz w:val="20"/>
          <w:szCs w:val="20"/>
          <w:lang w:eastAsia="bg-BG"/>
        </w:rPr>
        <w:t>Данните се събират от годишните отчети на нефинансовите предприятия, съставящи и несъставящи баланс, на финансовите предприятия, на предприятията с нестопанска цел и банките. Във всички отчети справката е унифицирана и представлява тяхна неразделна съставна част. Дейността на предприятието, независимо от големината му, е фамилен бизнес, когато е изпълнено едно от двете условия:</w:t>
      </w:r>
    </w:p>
    <w:p w:rsidR="00D97C38" w:rsidRPr="00324623" w:rsidRDefault="00D97C38" w:rsidP="00D97C38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sz w:val="20"/>
          <w:szCs w:val="20"/>
          <w:lang w:eastAsia="bg-BG"/>
        </w:rPr>
        <w:t>Мнозинството от дяловете, които дават право на вземане на решение, са притежание на физическото лице, създало или придобило предприятието, и/или неговите съпруг(а), деца, родители и/или други преки наследници и поне един представител на семейството или рода участва официално в управлението на предприятието;</w:t>
      </w:r>
    </w:p>
    <w:p w:rsidR="00D97C38" w:rsidRPr="00324623" w:rsidRDefault="00D97C38" w:rsidP="00D97C38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sz w:val="20"/>
          <w:szCs w:val="20"/>
          <w:lang w:eastAsia="bg-BG"/>
        </w:rPr>
        <w:t>Ако акции на предприятието се търгуват на борсата - физическото лице, създало или придобило предприятието, и/или неговите съпруг(а), деца, родители и/или други преки наследници, трябва да притежават (заедно) най-малко 25% от акциите, даващи право на глас и поне един представител на семейството или рода да участва официално в управлението на предприятието.</w:t>
      </w:r>
    </w:p>
    <w:p w:rsidR="00D97C38" w:rsidRPr="00324623" w:rsidRDefault="00D97C38" w:rsidP="00D97C38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sz w:val="20"/>
          <w:szCs w:val="20"/>
          <w:lang w:eastAsia="bg-BG"/>
        </w:rPr>
        <w:t>Брой семейни предприятия е броят на отчетените предприятия за последната отчетна година, които са декларирали че техният бизнес е семеен. Заетостта в семейните предприятия е персоналът, представен с понятията наети и заети лица:</w:t>
      </w:r>
    </w:p>
    <w:p w:rsidR="00D97C38" w:rsidRPr="00324623" w:rsidRDefault="00D97C38" w:rsidP="00D97C38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sz w:val="20"/>
          <w:szCs w:val="20"/>
          <w:lang w:eastAsia="bg-BG"/>
        </w:rPr>
        <w:t>Наети лица са лицата, които са в трудово правоотношение с работодателя съгласно Кодекса на труда и в служебно правоотношение съгласно Закона за държавния служител, по силата на които правоотношения те получават възнаграждение в пари или натура под формата на работна заплата за извършена в определен обем и качество работа, независимо дали договорът за наемане е постоянен или временен, на пълно или непълно работно време;</w:t>
      </w:r>
    </w:p>
    <w:p w:rsidR="00D97C38" w:rsidRPr="00324623" w:rsidRDefault="00D97C38" w:rsidP="00D97C38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sz w:val="20"/>
          <w:szCs w:val="20"/>
          <w:lang w:eastAsia="bg-BG"/>
        </w:rPr>
        <w:t>Заети лица - включва наетите и самонаетите лица, ангажирани в дадена производствена дейност, попадаща в производствените граници на системата.</w:t>
      </w:r>
    </w:p>
    <w:p w:rsidR="00D97C38" w:rsidRPr="00324623" w:rsidRDefault="00D97C38" w:rsidP="00D97C38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324623">
        <w:rPr>
          <w:rFonts w:ascii="Verdana" w:eastAsia="Μοντέρνα" w:hAnsi="Verdana" w:cs="Times New Roman"/>
          <w:sz w:val="20"/>
          <w:szCs w:val="20"/>
          <w:lang w:eastAsia="bg-BG"/>
        </w:rPr>
        <w:t>Повeче информация и данни за Статистика на фамилния бизнес са достъпни в Информационна система „ИНФОСТАТ“ (https://infostat.nsi.bg/infostat/pages/module.jsf?x_2=292) и на сайта на НСИ, раздел „Бизнес регистър“ (https://nsi.bg/node/17312/).</w:t>
      </w:r>
    </w:p>
    <w:sectPr w:rsidR="00D97C38" w:rsidRPr="00324623" w:rsidSect="009630CE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51" w:rsidRDefault="00CE5751" w:rsidP="00D97C38">
      <w:r>
        <w:separator/>
      </w:r>
    </w:p>
  </w:endnote>
  <w:endnote w:type="continuationSeparator" w:id="0">
    <w:p w:rsidR="00CE5751" w:rsidRDefault="00CE5751" w:rsidP="00D9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5818FA" w:rsidRDefault="004B6032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96470C3" wp14:editId="4D46D7F5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A6B60D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1D7BA28" wp14:editId="3C0D5671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5459D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B9F295" wp14:editId="069C2D8D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AA0" w:rsidRPr="00DD11CB" w:rsidRDefault="004B6032" w:rsidP="00054328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F09D3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B9F29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456AA0" w:rsidRPr="00DD11CB" w:rsidRDefault="004B6032" w:rsidP="00054328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F09D3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456AA0" w:rsidRPr="00054328" w:rsidRDefault="004B6032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004FE5" w:rsidRDefault="004B6032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2AAD4" wp14:editId="0CC05B04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AA0" w:rsidRPr="00DD11CB" w:rsidRDefault="004B6032" w:rsidP="00654814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F09D3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E2AAD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456AA0" w:rsidRPr="00DD11CB" w:rsidRDefault="004B6032" w:rsidP="00654814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F09D3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704D51" wp14:editId="5153045A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18A8FB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51" w:rsidRDefault="00CE5751" w:rsidP="00D97C38">
      <w:r>
        <w:separator/>
      </w:r>
    </w:p>
  </w:footnote>
  <w:footnote w:type="continuationSeparator" w:id="0">
    <w:p w:rsidR="00CE5751" w:rsidRDefault="00CE5751" w:rsidP="00D9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054328" w:rsidRDefault="004B6032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DD900C" wp14:editId="3BEC0ABB">
              <wp:simplePos x="0" y="0"/>
              <wp:positionH relativeFrom="column">
                <wp:posOffset>-156210</wp:posOffset>
              </wp:positionH>
              <wp:positionV relativeFrom="paragraph">
                <wp:posOffset>-1028065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913171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83C" w:rsidRDefault="004B6032" w:rsidP="0052383C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6544FB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 xml:space="preserve">СТАТИСТИКА НА </w:t>
                            </w:r>
                            <w:r w:rsidR="00D97C38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>ФАМИЛНИЯ БИЗНЕС</w:t>
                            </w:r>
                            <w:r w:rsidRPr="006544FB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 xml:space="preserve"> В ОБЛАСТ СЛИВЕН ПРЕЗ </w:t>
                            </w:r>
                            <w:r w:rsidR="00D97C38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>2024</w:t>
                            </w:r>
                            <w:r w:rsidRPr="006544FB">
                              <w:rPr>
                                <w:rFonts w:ascii="Verdana" w:eastAsia="Μοντέρνα" w:hAnsi="Verdana" w:cs="Times New Roman"/>
                                <w:b/>
                                <w:iCs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DD900C" id="Group 7" o:spid="_x0000_s1027" style="position:absolute;margin-left:-12.3pt;margin-top:-80.9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9131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52383C" w:rsidRDefault="004B6032" w:rsidP="0052383C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</w:pPr>
                      <w:r w:rsidRPr="006544FB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 xml:space="preserve">СТАТИСТИКА НА </w:t>
                      </w:r>
                      <w:r w:rsidR="00D97C38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>ФАМИЛНИЯ БИЗНЕС</w:t>
                      </w:r>
                      <w:r w:rsidRPr="006544FB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 xml:space="preserve"> В ОБЛАСТ СЛИВЕН ПРЕЗ </w:t>
                      </w:r>
                      <w:r w:rsidR="00D97C38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>2024</w:t>
                      </w:r>
                      <w:r w:rsidRPr="006544FB">
                        <w:rPr>
                          <w:rFonts w:ascii="Verdana" w:eastAsia="Μοντέρνα" w:hAnsi="Verdana" w:cs="Times New Roman"/>
                          <w:b/>
                          <w:iCs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9E4021" w:rsidRDefault="004B6032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308C3185" wp14:editId="0D54971B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35ADD8" wp14:editId="035AF271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6AA0" w:rsidRDefault="004B6032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456AA0" w:rsidRPr="00FD731D" w:rsidRDefault="004B6032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5AD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456AA0" w:rsidRDefault="004B6032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456AA0" w:rsidRPr="00FD731D" w:rsidRDefault="004B6032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138AA7" wp14:editId="2FBB1772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8EE564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377F44C9" wp14:editId="287E9ABA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1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C02A4E5" wp14:editId="2C7C9812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A93E3D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359"/>
    <w:multiLevelType w:val="hybridMultilevel"/>
    <w:tmpl w:val="FC1EB740"/>
    <w:lvl w:ilvl="0" w:tplc="AA24A03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1740FFA"/>
    <w:multiLevelType w:val="hybridMultilevel"/>
    <w:tmpl w:val="4140968A"/>
    <w:lvl w:ilvl="0" w:tplc="E0361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38"/>
    <w:rsid w:val="0000367D"/>
    <w:rsid w:val="001561AA"/>
    <w:rsid w:val="00265ACF"/>
    <w:rsid w:val="002F173F"/>
    <w:rsid w:val="004B6032"/>
    <w:rsid w:val="0066021D"/>
    <w:rsid w:val="007A3720"/>
    <w:rsid w:val="007F3A5F"/>
    <w:rsid w:val="008059B3"/>
    <w:rsid w:val="0090234B"/>
    <w:rsid w:val="00964679"/>
    <w:rsid w:val="009F09D3"/>
    <w:rsid w:val="00B40BF8"/>
    <w:rsid w:val="00C56083"/>
    <w:rsid w:val="00CE5751"/>
    <w:rsid w:val="00D32225"/>
    <w:rsid w:val="00D97C38"/>
    <w:rsid w:val="00E7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7086B2A-8AC3-4233-913F-7C50C912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C3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C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C38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97C38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97C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7C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C3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EDII\PRESS\Press_2024\pom_tabl_familen_biznes_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EDII\PRESS\Press_2024\pom_tabl_familen_biznes_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bg-BG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'графика 2024 2'!$A$2:$A$7</c:f>
              <c:strCach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strCache>
            </c:strRef>
          </c:cat>
          <c:val>
            <c:numRef>
              <c:f>'графика 2024 2'!$B$2:$B$7</c:f>
              <c:numCache>
                <c:formatCode>0</c:formatCode>
                <c:ptCount val="6"/>
                <c:pt idx="0">
                  <c:v>1663</c:v>
                </c:pt>
                <c:pt idx="1">
                  <c:v>1578</c:v>
                </c:pt>
                <c:pt idx="2">
                  <c:v>1471</c:v>
                </c:pt>
                <c:pt idx="3">
                  <c:v>2102</c:v>
                </c:pt>
                <c:pt idx="4">
                  <c:v>2172</c:v>
                </c:pt>
                <c:pt idx="5">
                  <c:v>2160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7E-4F32-BF64-5A5908EA01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overlap val="-27"/>
        <c:axId val="287650463"/>
        <c:axId val="287651295"/>
      </c:barChart>
      <c:catAx>
        <c:axId val="287650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287651295"/>
        <c:crosses val="autoZero"/>
        <c:auto val="1"/>
        <c:lblAlgn val="ctr"/>
        <c:lblOffset val="100"/>
        <c:noMultiLvlLbl val="0"/>
      </c:catAx>
      <c:valAx>
        <c:axId val="2876512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2876504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bg-B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bg-BG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'графика 2024 1'!$A$2:$A$7</c:f>
              <c:strCach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strCache>
            </c:strRef>
          </c:cat>
          <c:val>
            <c:numRef>
              <c:f>'графика 2024 1'!$B$2:$B$7</c:f>
              <c:numCache>
                <c:formatCode>0</c:formatCode>
                <c:ptCount val="6"/>
                <c:pt idx="0">
                  <c:v>6701</c:v>
                </c:pt>
                <c:pt idx="1">
                  <c:v>6248</c:v>
                </c:pt>
                <c:pt idx="2">
                  <c:v>5716</c:v>
                </c:pt>
                <c:pt idx="3">
                  <c:v>6380</c:v>
                </c:pt>
                <c:pt idx="4">
                  <c:v>6659</c:v>
                </c:pt>
                <c:pt idx="5">
                  <c:v>6304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65-4146-B456-AAA52CB2F2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overlap val="-28"/>
        <c:axId val="287650463"/>
        <c:axId val="287651295"/>
      </c:barChart>
      <c:catAx>
        <c:axId val="287650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287651295"/>
        <c:crosses val="autoZero"/>
        <c:auto val="1"/>
        <c:lblAlgn val="ctr"/>
        <c:lblOffset val="100"/>
        <c:noMultiLvlLbl val="0"/>
      </c:catAx>
      <c:valAx>
        <c:axId val="2876512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bg-BG"/>
          </a:p>
        </c:txPr>
        <c:crossAx val="2876504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Verdana" panose="020B0604030504040204" pitchFamily="34" charset="0"/>
          <a:ea typeface="Verdana" panose="020B0604030504040204" pitchFamily="34" charset="0"/>
          <a:cs typeface="Times New Roman" panose="02020603050405020304" pitchFamily="18" charset="0"/>
        </a:defRPr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3</cp:revision>
  <cp:lastPrinted>2025-12-03T08:44:00Z</cp:lastPrinted>
  <dcterms:created xsi:type="dcterms:W3CDTF">2025-12-08T10:33:00Z</dcterms:created>
  <dcterms:modified xsi:type="dcterms:W3CDTF">2025-12-09T08:39:00Z</dcterms:modified>
</cp:coreProperties>
</file>