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1DE8" w:rsidRPr="00F76D42" w:rsidRDefault="00171DE8" w:rsidP="00171DE8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C3910" wp14:editId="7B46061B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DE8" w:rsidRPr="004F6479" w:rsidRDefault="00171DE8" w:rsidP="00171DE8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171DE8" w:rsidRPr="004F6479" w:rsidRDefault="00171DE8" w:rsidP="00171DE8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C3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171DE8" w:rsidRPr="004F6479" w:rsidRDefault="00171DE8" w:rsidP="00171DE8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171DE8" w:rsidRPr="004F6479" w:rsidRDefault="00171DE8" w:rsidP="00171DE8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1DE8" w:rsidRPr="00B4764A" w:rsidRDefault="00171DE8" w:rsidP="00171DE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B4764A">
        <w:rPr>
          <w:rFonts w:ascii="Verdana" w:hAnsi="Verdana"/>
          <w:b/>
          <w:sz w:val="20"/>
          <w:szCs w:val="20"/>
        </w:rPr>
        <w:t>РАЗХОДИ ЗА ПРИДОБИВАНЕ НА ДЪЛГОТРАЙНИ МАТЕРИАЛНИ АКТИВИ</w:t>
      </w:r>
    </w:p>
    <w:p w:rsidR="00171DE8" w:rsidRPr="00B4764A" w:rsidRDefault="00171DE8" w:rsidP="00171DE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4764A">
        <w:rPr>
          <w:rFonts w:ascii="Verdana" w:hAnsi="Verdana"/>
          <w:b/>
          <w:sz w:val="20"/>
          <w:szCs w:val="20"/>
        </w:rPr>
        <w:t xml:space="preserve">В ОБЛАСТ СЛИВЕН ПРЕЗ </w:t>
      </w:r>
      <w:r>
        <w:rPr>
          <w:rFonts w:ascii="Verdana" w:hAnsi="Verdana"/>
          <w:b/>
          <w:sz w:val="20"/>
          <w:szCs w:val="20"/>
        </w:rPr>
        <w:t>2024</w:t>
      </w:r>
      <w:r w:rsidRPr="00B4764A">
        <w:rPr>
          <w:rFonts w:ascii="Verdana" w:hAnsi="Verdana"/>
          <w:b/>
          <w:sz w:val="20"/>
          <w:szCs w:val="20"/>
        </w:rPr>
        <w:t xml:space="preserve"> ГОДИНА</w:t>
      </w:r>
    </w:p>
    <w:p w:rsidR="00171DE8" w:rsidRPr="00B4764A" w:rsidRDefault="00171DE8" w:rsidP="00896386">
      <w:pPr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B4764A">
        <w:rPr>
          <w:rFonts w:ascii="Verdana" w:hAnsi="Verdana"/>
          <w:sz w:val="20"/>
          <w:szCs w:val="20"/>
        </w:rPr>
        <w:t xml:space="preserve">По окончателни данни през </w:t>
      </w:r>
      <w:r>
        <w:rPr>
          <w:rFonts w:ascii="Verdana" w:hAnsi="Verdana"/>
          <w:sz w:val="20"/>
          <w:szCs w:val="20"/>
        </w:rPr>
        <w:t>2024</w:t>
      </w:r>
      <w:r w:rsidRPr="00B4764A">
        <w:rPr>
          <w:rFonts w:ascii="Verdana" w:hAnsi="Verdana"/>
          <w:sz w:val="20"/>
          <w:szCs w:val="20"/>
        </w:rPr>
        <w:t xml:space="preserve"> г. извършените разходи за придобиване на дълготрайни</w:t>
      </w:r>
      <w:r w:rsidRPr="00B4764A">
        <w:rPr>
          <w:rFonts w:ascii="Verdana" w:hAnsi="Verdana"/>
          <w:b/>
          <w:sz w:val="20"/>
          <w:szCs w:val="20"/>
        </w:rPr>
        <w:t xml:space="preserve"> </w:t>
      </w:r>
      <w:r w:rsidRPr="00B4764A">
        <w:rPr>
          <w:rFonts w:ascii="Verdana" w:hAnsi="Verdana"/>
          <w:sz w:val="20"/>
          <w:szCs w:val="20"/>
        </w:rPr>
        <w:t>материални активи (ДМА)</w:t>
      </w:r>
      <w:r w:rsidRPr="00B4764A">
        <w:rPr>
          <w:rFonts w:ascii="Verdana" w:hAnsi="Verdana"/>
          <w:b/>
          <w:sz w:val="20"/>
          <w:szCs w:val="20"/>
        </w:rPr>
        <w:t xml:space="preserve"> </w:t>
      </w:r>
      <w:r w:rsidRPr="00B4764A">
        <w:rPr>
          <w:rFonts w:ascii="Verdana" w:hAnsi="Verdana"/>
          <w:sz w:val="20"/>
          <w:szCs w:val="20"/>
        </w:rPr>
        <w:t xml:space="preserve">са </w:t>
      </w:r>
      <w:r>
        <w:rPr>
          <w:rFonts w:ascii="Verdana" w:hAnsi="Verdana"/>
          <w:sz w:val="20"/>
          <w:szCs w:val="20"/>
          <w:lang w:val="en-US"/>
        </w:rPr>
        <w:t>457.2</w:t>
      </w:r>
      <w:r w:rsidRPr="00B4764A">
        <w:rPr>
          <w:rFonts w:ascii="Verdana" w:hAnsi="Verdana"/>
          <w:sz w:val="20"/>
          <w:szCs w:val="20"/>
        </w:rPr>
        <w:t xml:space="preserve"> млн. лв., </w:t>
      </w:r>
      <w:r w:rsidRPr="00B476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което е с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3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7.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4</w:t>
      </w:r>
      <w:r w:rsidRPr="00B4764A">
        <w:rPr>
          <w:rFonts w:ascii="Verdana" w:hAnsi="Verdana"/>
          <w:color w:val="000000"/>
          <w:sz w:val="20"/>
          <w:szCs w:val="20"/>
          <w:shd w:val="clear" w:color="auto" w:fill="FFFFFF"/>
        </w:rPr>
        <w:t>% по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-малко</w:t>
      </w:r>
      <w:r w:rsidRPr="00B476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сравнение с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2023</w:t>
      </w:r>
      <w:r w:rsidRPr="00B476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година.</w:t>
      </w:r>
    </w:p>
    <w:p w:rsidR="00171DE8" w:rsidRDefault="00171DE8" w:rsidP="00896386">
      <w:pPr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B4764A">
        <w:rPr>
          <w:rFonts w:ascii="Verdana" w:hAnsi="Verdana"/>
          <w:sz w:val="20"/>
          <w:szCs w:val="20"/>
        </w:rPr>
        <w:t xml:space="preserve">Най-голям обем инвестиции в ДМА са вложени в сектор „Индустрия” </w:t>
      </w:r>
      <w:r>
        <w:rPr>
          <w:rFonts w:ascii="Verdana" w:hAnsi="Verdana"/>
          <w:sz w:val="20"/>
          <w:szCs w:val="20"/>
        </w:rPr>
        <w:t>–</w:t>
      </w:r>
      <w:r w:rsidRPr="00B4764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203.6</w:t>
      </w:r>
      <w:r w:rsidRPr="00B4764A">
        <w:rPr>
          <w:rFonts w:ascii="Verdana" w:hAnsi="Verdana"/>
          <w:sz w:val="20"/>
          <w:szCs w:val="20"/>
        </w:rPr>
        <w:t xml:space="preserve"> млн. лв., или </w:t>
      </w:r>
      <w:r>
        <w:rPr>
          <w:rFonts w:ascii="Verdana" w:hAnsi="Verdana"/>
          <w:sz w:val="20"/>
          <w:szCs w:val="20"/>
        </w:rPr>
        <w:t>44.5</w:t>
      </w:r>
      <w:r w:rsidRPr="00B4764A">
        <w:rPr>
          <w:rFonts w:ascii="Verdana" w:hAnsi="Verdana"/>
          <w:sz w:val="20"/>
          <w:szCs w:val="20"/>
        </w:rPr>
        <w:t xml:space="preserve">% от общия обем на направените инвестиции през годината. Спрямо </w:t>
      </w:r>
      <w:r>
        <w:rPr>
          <w:rFonts w:ascii="Verdana" w:hAnsi="Verdana"/>
          <w:sz w:val="20"/>
          <w:szCs w:val="20"/>
        </w:rPr>
        <w:t>2023</w:t>
      </w:r>
      <w:r w:rsidRPr="00B4764A">
        <w:rPr>
          <w:rFonts w:ascii="Verdana" w:hAnsi="Verdana"/>
          <w:sz w:val="20"/>
          <w:szCs w:val="20"/>
        </w:rPr>
        <w:t xml:space="preserve"> г. показателят бележи </w:t>
      </w:r>
      <w:r>
        <w:rPr>
          <w:rFonts w:ascii="Verdana" w:hAnsi="Verdana"/>
          <w:sz w:val="20"/>
          <w:szCs w:val="20"/>
        </w:rPr>
        <w:t>спад</w:t>
      </w:r>
      <w:r w:rsidRPr="00B4764A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22.1</w:t>
      </w:r>
      <w:r w:rsidRPr="00B4764A">
        <w:rPr>
          <w:rFonts w:ascii="Verdana" w:hAnsi="Verdana"/>
          <w:sz w:val="20"/>
          <w:szCs w:val="20"/>
        </w:rPr>
        <w:t>%. Разходите за ДМА в сектор „</w:t>
      </w:r>
      <w:r>
        <w:rPr>
          <w:rFonts w:ascii="Verdana" w:hAnsi="Verdana"/>
          <w:sz w:val="20"/>
          <w:szCs w:val="20"/>
        </w:rPr>
        <w:t>Селско, горско и рибно стопанство</w:t>
      </w:r>
      <w:r w:rsidRPr="00B4764A">
        <w:rPr>
          <w:rFonts w:ascii="Verdana" w:hAnsi="Verdana"/>
          <w:sz w:val="20"/>
          <w:szCs w:val="20"/>
          <w:lang w:val="en-US"/>
        </w:rPr>
        <w:t>”</w:t>
      </w:r>
      <w:r w:rsidRPr="00B4764A">
        <w:rPr>
          <w:rFonts w:ascii="Verdana" w:hAnsi="Verdana"/>
          <w:sz w:val="20"/>
          <w:szCs w:val="20"/>
        </w:rPr>
        <w:t xml:space="preserve"> са </w:t>
      </w:r>
      <w:r>
        <w:rPr>
          <w:rFonts w:ascii="Verdana" w:hAnsi="Verdana"/>
          <w:sz w:val="20"/>
          <w:szCs w:val="20"/>
        </w:rPr>
        <w:t>78.5</w:t>
      </w:r>
      <w:r w:rsidRPr="00B4764A">
        <w:rPr>
          <w:rFonts w:ascii="Verdana" w:hAnsi="Verdana"/>
          <w:sz w:val="20"/>
          <w:szCs w:val="20"/>
        </w:rPr>
        <w:t xml:space="preserve"> млн. лв., или </w:t>
      </w:r>
      <w:r>
        <w:rPr>
          <w:rFonts w:ascii="Verdana" w:hAnsi="Verdana"/>
          <w:sz w:val="20"/>
          <w:szCs w:val="20"/>
        </w:rPr>
        <w:t>17.2</w:t>
      </w:r>
      <w:r w:rsidRPr="00B4764A">
        <w:rPr>
          <w:rFonts w:ascii="Verdana" w:hAnsi="Verdana"/>
          <w:sz w:val="20"/>
          <w:szCs w:val="20"/>
        </w:rPr>
        <w:t xml:space="preserve">%, като спрямо </w:t>
      </w:r>
      <w:r>
        <w:rPr>
          <w:rFonts w:ascii="Verdana" w:hAnsi="Verdana"/>
          <w:sz w:val="20"/>
          <w:szCs w:val="20"/>
        </w:rPr>
        <w:t>2023</w:t>
      </w:r>
      <w:r w:rsidRPr="00B4764A">
        <w:rPr>
          <w:rFonts w:ascii="Verdana" w:hAnsi="Verdana"/>
          <w:sz w:val="20"/>
          <w:szCs w:val="20"/>
        </w:rPr>
        <w:t xml:space="preserve"> г. инвестициите в сектора </w:t>
      </w:r>
      <w:r>
        <w:rPr>
          <w:rFonts w:ascii="Verdana" w:hAnsi="Verdana"/>
          <w:sz w:val="20"/>
          <w:szCs w:val="20"/>
        </w:rPr>
        <w:t>намаляват</w:t>
      </w:r>
      <w:r w:rsidRPr="00B4764A">
        <w:rPr>
          <w:rFonts w:ascii="Verdana" w:hAnsi="Verdana"/>
          <w:sz w:val="20"/>
          <w:szCs w:val="20"/>
        </w:rPr>
        <w:t xml:space="preserve"> с </w:t>
      </w:r>
      <w:r w:rsidR="00BC7013">
        <w:rPr>
          <w:rFonts w:ascii="Verdana" w:hAnsi="Verdana"/>
          <w:sz w:val="20"/>
          <w:szCs w:val="20"/>
        </w:rPr>
        <w:t>4.0</w:t>
      </w:r>
      <w:r w:rsidRPr="00B4764A">
        <w:rPr>
          <w:rFonts w:ascii="Verdana" w:hAnsi="Verdana"/>
          <w:sz w:val="20"/>
          <w:szCs w:val="20"/>
        </w:rPr>
        <w:t>%.</w:t>
      </w:r>
    </w:p>
    <w:p w:rsidR="00171DE8" w:rsidRPr="00B4764A" w:rsidRDefault="00171DE8" w:rsidP="00896386">
      <w:pPr>
        <w:spacing w:before="160" w:line="360" w:lineRule="auto"/>
        <w:jc w:val="center"/>
        <w:rPr>
          <w:rFonts w:ascii="Verdana" w:hAnsi="Verdana"/>
          <w:b/>
          <w:sz w:val="20"/>
          <w:szCs w:val="20"/>
        </w:rPr>
      </w:pPr>
      <w:r w:rsidRPr="00B4764A">
        <w:rPr>
          <w:rFonts w:ascii="Verdana" w:hAnsi="Verdana"/>
          <w:b/>
          <w:sz w:val="20"/>
          <w:szCs w:val="20"/>
        </w:rPr>
        <w:t xml:space="preserve">Фиг. </w:t>
      </w:r>
      <w:r w:rsidRPr="00B4764A">
        <w:rPr>
          <w:rFonts w:ascii="Verdana" w:hAnsi="Verdana"/>
          <w:b/>
          <w:sz w:val="20"/>
          <w:szCs w:val="20"/>
          <w:lang w:val="en-US"/>
        </w:rPr>
        <w:t>1</w:t>
      </w:r>
      <w:r w:rsidRPr="00B4764A">
        <w:rPr>
          <w:rFonts w:ascii="Verdana" w:hAnsi="Verdana"/>
          <w:b/>
          <w:sz w:val="20"/>
          <w:szCs w:val="20"/>
        </w:rPr>
        <w:t>. Структура на разходите за придобиване на дълготрайни материални активи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B4764A">
        <w:rPr>
          <w:rFonts w:ascii="Verdana" w:hAnsi="Verdana"/>
          <w:b/>
          <w:sz w:val="20"/>
          <w:szCs w:val="20"/>
        </w:rPr>
        <w:t xml:space="preserve">по икономически дейности в област Сливен през </w:t>
      </w:r>
      <w:r>
        <w:rPr>
          <w:rFonts w:ascii="Verdana" w:hAnsi="Verdana"/>
          <w:b/>
          <w:sz w:val="20"/>
          <w:szCs w:val="20"/>
        </w:rPr>
        <w:t>2023</w:t>
      </w:r>
      <w:r w:rsidRPr="00B219B7">
        <w:rPr>
          <w:rFonts w:ascii="Verdana" w:hAnsi="Verdana"/>
          <w:b/>
          <w:sz w:val="20"/>
          <w:szCs w:val="20"/>
        </w:rPr>
        <w:t xml:space="preserve"> и </w:t>
      </w:r>
      <w:r>
        <w:rPr>
          <w:rFonts w:ascii="Verdana" w:hAnsi="Verdana"/>
          <w:b/>
          <w:sz w:val="20"/>
          <w:szCs w:val="20"/>
        </w:rPr>
        <w:t>2024</w:t>
      </w:r>
      <w:r w:rsidRPr="00B219B7">
        <w:rPr>
          <w:rFonts w:ascii="Verdana" w:hAnsi="Verdana"/>
          <w:b/>
          <w:sz w:val="20"/>
          <w:szCs w:val="20"/>
        </w:rPr>
        <w:t xml:space="preserve"> година</w:t>
      </w:r>
    </w:p>
    <w:p w:rsidR="00171DE8" w:rsidRPr="00B4764A" w:rsidRDefault="00171DE8" w:rsidP="006257D2">
      <w:pPr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noProof/>
          <w:lang w:eastAsia="bg-BG"/>
        </w:rPr>
        <w:drawing>
          <wp:inline distT="0" distB="0" distL="0" distR="0" wp14:anchorId="5558925D" wp14:editId="41F3E17C">
            <wp:extent cx="6000750" cy="4524375"/>
            <wp:effectExtent l="0" t="0" r="0" b="0"/>
            <wp:docPr id="1147156895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715FC08-A51B-4538-B7D9-839D019481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1DE8" w:rsidRPr="00896386" w:rsidRDefault="00171DE8" w:rsidP="00896386">
      <w:pPr>
        <w:autoSpaceDE w:val="0"/>
        <w:autoSpaceDN w:val="0"/>
        <w:adjustRightInd w:val="0"/>
        <w:spacing w:before="160" w:after="0" w:line="360" w:lineRule="auto"/>
        <w:ind w:right="425" w:firstLine="709"/>
        <w:jc w:val="both"/>
        <w:rPr>
          <w:rFonts w:ascii="Verdana" w:hAnsi="Verdana"/>
          <w:color w:val="000000"/>
          <w:sz w:val="20"/>
          <w:szCs w:val="20"/>
          <w:lang w:val="en-US"/>
        </w:rPr>
      </w:pPr>
      <w:r w:rsidRPr="00D80C97">
        <w:rPr>
          <w:rFonts w:ascii="Verdana" w:hAnsi="Verdana"/>
          <w:color w:val="000000"/>
          <w:sz w:val="20"/>
          <w:szCs w:val="20"/>
        </w:rPr>
        <w:lastRenderedPageBreak/>
        <w:t xml:space="preserve">През 2024 г. е регистрирана промяна и в структурата на разходите за придобиване на ДМА по видове. Относителният дял на направените инвестиции за машини, производствено оборудване и апаратура нараства с </w:t>
      </w:r>
      <w:r>
        <w:rPr>
          <w:rFonts w:ascii="Verdana" w:hAnsi="Verdana"/>
          <w:color w:val="000000"/>
          <w:sz w:val="20"/>
          <w:szCs w:val="20"/>
        </w:rPr>
        <w:t>10.9</w:t>
      </w:r>
      <w:r w:rsidRPr="00D80C97">
        <w:rPr>
          <w:rFonts w:ascii="Verdana" w:hAnsi="Verdana"/>
          <w:color w:val="000000"/>
          <w:sz w:val="20"/>
          <w:szCs w:val="20"/>
        </w:rPr>
        <w:t xml:space="preserve"> процентни пункта в сравнение с предходната година и достига 3</w:t>
      </w:r>
      <w:r>
        <w:rPr>
          <w:rFonts w:ascii="Verdana" w:hAnsi="Verdana"/>
          <w:color w:val="000000"/>
          <w:sz w:val="20"/>
          <w:szCs w:val="20"/>
        </w:rPr>
        <w:t>5</w:t>
      </w:r>
      <w:r w:rsidRPr="00D80C9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6</w:t>
      </w:r>
      <w:r w:rsidRPr="00D80C97">
        <w:rPr>
          <w:rFonts w:ascii="Verdana" w:hAnsi="Verdana"/>
          <w:color w:val="000000"/>
          <w:sz w:val="20"/>
          <w:szCs w:val="20"/>
        </w:rPr>
        <w:t xml:space="preserve">%. Същевременно се наблюдава спад с </w:t>
      </w:r>
      <w:r>
        <w:rPr>
          <w:rFonts w:ascii="Verdana" w:hAnsi="Verdana"/>
          <w:color w:val="000000"/>
          <w:sz w:val="20"/>
          <w:szCs w:val="20"/>
        </w:rPr>
        <w:t>18.5</w:t>
      </w:r>
      <w:r w:rsidRPr="00D80C97">
        <w:rPr>
          <w:rFonts w:ascii="Verdana" w:hAnsi="Verdana"/>
          <w:color w:val="000000"/>
          <w:sz w:val="20"/>
          <w:szCs w:val="20"/>
        </w:rPr>
        <w:t xml:space="preserve"> процентни пункта при закупуването на </w:t>
      </w:r>
      <w:r>
        <w:rPr>
          <w:rFonts w:ascii="Verdana" w:hAnsi="Verdana"/>
          <w:color w:val="000000"/>
          <w:sz w:val="20"/>
          <w:szCs w:val="20"/>
        </w:rPr>
        <w:t>земя</w:t>
      </w:r>
      <w:r w:rsidRPr="00D80C97">
        <w:rPr>
          <w:rFonts w:ascii="Verdana" w:hAnsi="Verdana"/>
          <w:color w:val="000000"/>
          <w:sz w:val="20"/>
          <w:szCs w:val="20"/>
        </w:rPr>
        <w:t xml:space="preserve"> до </w:t>
      </w:r>
      <w:r>
        <w:rPr>
          <w:rFonts w:ascii="Verdana" w:hAnsi="Verdana"/>
          <w:color w:val="000000"/>
          <w:sz w:val="20"/>
          <w:szCs w:val="20"/>
        </w:rPr>
        <w:t>9.5</w:t>
      </w:r>
      <w:r w:rsidRPr="00D80C97">
        <w:rPr>
          <w:rFonts w:ascii="Verdana" w:hAnsi="Verdana"/>
          <w:color w:val="000000"/>
          <w:sz w:val="20"/>
          <w:szCs w:val="20"/>
        </w:rPr>
        <w:t>% от разходите за ДМА</w:t>
      </w:r>
      <w:r w:rsidR="008542BD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171DE8" w:rsidRDefault="00171DE8" w:rsidP="00171DE8">
      <w:pPr>
        <w:spacing w:line="259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p w:rsidR="00171DE8" w:rsidRPr="00B4764A" w:rsidRDefault="00171DE8" w:rsidP="00171DE8">
      <w:pPr>
        <w:spacing w:line="360" w:lineRule="auto"/>
        <w:jc w:val="center"/>
        <w:rPr>
          <w:rFonts w:ascii="Verdana" w:eastAsia="Times New Roman" w:hAnsi="Verdana"/>
          <w:b/>
          <w:bCs/>
          <w:sz w:val="20"/>
          <w:szCs w:val="20"/>
        </w:rPr>
      </w:pPr>
      <w:r w:rsidRPr="00B4764A">
        <w:rPr>
          <w:rFonts w:ascii="Verdana" w:eastAsia="Times New Roman" w:hAnsi="Verdana"/>
          <w:b/>
          <w:bCs/>
          <w:sz w:val="20"/>
          <w:szCs w:val="20"/>
        </w:rPr>
        <w:lastRenderedPageBreak/>
        <w:t>Методологични бележки</w:t>
      </w:r>
    </w:p>
    <w:p w:rsidR="00171DE8" w:rsidRPr="00B4764A" w:rsidRDefault="00171DE8" w:rsidP="008963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NewRomanPSMT"/>
          <w:sz w:val="20"/>
          <w:szCs w:val="20"/>
        </w:rPr>
      </w:pPr>
      <w:r w:rsidRPr="00B4764A">
        <w:rPr>
          <w:rFonts w:ascii="Verdana" w:eastAsia="Times New Roman" w:hAnsi="Verdana" w:cs="TimesNewRomanPS-BoldMT"/>
          <w:b/>
          <w:bCs/>
          <w:sz w:val="20"/>
          <w:szCs w:val="20"/>
        </w:rPr>
        <w:t xml:space="preserve">Разходите за придобиване на ДМА </w:t>
      </w:r>
      <w:r w:rsidRPr="00B4764A">
        <w:rPr>
          <w:rFonts w:ascii="Verdana" w:eastAsia="Times New Roman" w:hAnsi="Verdana" w:cs="TimesNewRomanPSMT"/>
          <w:sz w:val="20"/>
          <w:szCs w:val="20"/>
        </w:rPr>
        <w:t>през отчетния период включват фактически извършените разходи за закупуване на земя и за изграждане на сгради, строителни съоръжения и конструкции чрез възлагане и по стопански начин, за доставка и монтаж на ДМА, за закупуване на машини, съоръжения, оборудване и транспортни средства, за геоложки и хидроложки проучвания, за проучвателни и проектантски работи, обслужващи строителството и други разходи, свързани с придобиването на ДМА.</w:t>
      </w:r>
    </w:p>
    <w:p w:rsidR="00171DE8" w:rsidRPr="00B4764A" w:rsidRDefault="00171DE8" w:rsidP="008963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NewRomanPSMT"/>
          <w:sz w:val="20"/>
          <w:szCs w:val="20"/>
          <w:lang w:val="ru-RU"/>
        </w:rPr>
      </w:pPr>
      <w:r w:rsidRPr="00B4764A">
        <w:rPr>
          <w:rFonts w:ascii="Verdana" w:eastAsia="Times New Roman" w:hAnsi="Verdana" w:cs="TimesNewRomanPSMT"/>
          <w:sz w:val="20"/>
          <w:szCs w:val="20"/>
        </w:rPr>
        <w:t>В обема на разходите за придобиване на ДМА не се включват текущите разходи по поддържане на наличните ДМА.</w:t>
      </w:r>
    </w:p>
    <w:p w:rsidR="00265ACF" w:rsidRDefault="00265ACF" w:rsidP="00171DE8">
      <w:pPr>
        <w:spacing w:after="0" w:line="360" w:lineRule="auto"/>
        <w:ind w:firstLine="567"/>
        <w:jc w:val="both"/>
      </w:pPr>
    </w:p>
    <w:sectPr w:rsidR="00265ACF" w:rsidSect="00FF1D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E8" w:rsidRDefault="00E550E8" w:rsidP="00171DE8">
      <w:pPr>
        <w:spacing w:after="0" w:line="240" w:lineRule="auto"/>
      </w:pPr>
      <w:r>
        <w:separator/>
      </w:r>
    </w:p>
  </w:endnote>
  <w:endnote w:type="continuationSeparator" w:id="0">
    <w:p w:rsidR="00E550E8" w:rsidRDefault="00E550E8" w:rsidP="0017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5D6AAA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747A0" wp14:editId="70A3A4A8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5D6AAA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7BE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9747A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5D6AAA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47BE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F0B193" wp14:editId="3CD927A6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F38E0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2DD93" wp14:editId="418B3B2D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57130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@nsi.</w:t>
    </w:r>
    <w:r>
      <w:rPr>
        <w:rFonts w:ascii="Verdana" w:hAnsi="Verdana"/>
        <w:sz w:val="16"/>
        <w:szCs w:val="16"/>
        <w:lang w:val="en-US"/>
      </w:rPr>
      <w:t>bg</w:t>
    </w:r>
  </w:p>
  <w:p w:rsidR="00FF1DB5" w:rsidRPr="000A47D4" w:rsidRDefault="005D6AAA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5D6AAA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93051D" wp14:editId="403808EB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A6428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BB01FA" wp14:editId="6147AF28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5D6AAA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6386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BB01F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5D6AAA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96386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E550E8" w:rsidP="00D83F28">
    <w:pPr>
      <w:pStyle w:val="Footer"/>
      <w:tabs>
        <w:tab w:val="clear" w:pos="4536"/>
        <w:tab w:val="clear" w:pos="9072"/>
      </w:tabs>
    </w:pPr>
  </w:p>
  <w:p w:rsidR="00D83F28" w:rsidRDefault="00E550E8" w:rsidP="00D83F28">
    <w:pPr>
      <w:pStyle w:val="Footer"/>
      <w:tabs>
        <w:tab w:val="clear" w:pos="4536"/>
        <w:tab w:val="clear" w:pos="9072"/>
      </w:tabs>
    </w:pPr>
  </w:p>
  <w:p w:rsidR="00FF1DB5" w:rsidRDefault="00E550E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E8" w:rsidRDefault="00E550E8" w:rsidP="00171DE8">
      <w:pPr>
        <w:spacing w:after="0" w:line="240" w:lineRule="auto"/>
      </w:pPr>
      <w:r>
        <w:separator/>
      </w:r>
    </w:p>
  </w:footnote>
  <w:footnote w:type="continuationSeparator" w:id="0">
    <w:p w:rsidR="00E550E8" w:rsidRDefault="00E550E8" w:rsidP="0017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E8" w:rsidRPr="00B4764A" w:rsidRDefault="00171DE8" w:rsidP="00171DE8">
    <w:pPr>
      <w:spacing w:after="0" w:line="360" w:lineRule="auto"/>
      <w:jc w:val="center"/>
      <w:rPr>
        <w:rFonts w:ascii="Verdana" w:hAnsi="Verdana"/>
        <w:b/>
        <w:sz w:val="20"/>
        <w:szCs w:val="20"/>
      </w:rPr>
    </w:pPr>
    <w:r w:rsidRPr="00B4764A">
      <w:rPr>
        <w:rFonts w:ascii="Verdana" w:hAnsi="Verdana"/>
        <w:b/>
        <w:sz w:val="20"/>
        <w:szCs w:val="20"/>
      </w:rPr>
      <w:t>РАЗХОДИ ЗА ПРИДОБИВАНЕ НА ДЪЛГОТРАЙНИ МАТЕРИАЛНИ АКТИВИ</w:t>
    </w:r>
  </w:p>
  <w:p w:rsidR="00D83F28" w:rsidRPr="00171DE8" w:rsidRDefault="00171DE8" w:rsidP="00171DE8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B4764A">
      <w:rPr>
        <w:rFonts w:ascii="Verdana" w:hAnsi="Verdana"/>
        <w:b/>
        <w:sz w:val="20"/>
        <w:szCs w:val="20"/>
      </w:rPr>
      <w:t xml:space="preserve">В ОБЛАСТ СЛИВЕН ПРЕЗ </w:t>
    </w:r>
    <w:r>
      <w:rPr>
        <w:rFonts w:ascii="Verdana" w:hAnsi="Verdana"/>
        <w:b/>
        <w:sz w:val="20"/>
        <w:szCs w:val="20"/>
      </w:rPr>
      <w:t>2024</w:t>
    </w:r>
    <w:r w:rsidRPr="00B4764A">
      <w:rPr>
        <w:rFonts w:ascii="Verdana" w:hAnsi="Verdana"/>
        <w:b/>
        <w:sz w:val="20"/>
        <w:szCs w:val="20"/>
      </w:rPr>
      <w:t xml:space="preserve"> ГОДИНА</w:t>
    </w:r>
    <w:r w:rsidR="005D6AAA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D245CF9" wp14:editId="770FC220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64E80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5D6AAA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156A010C" wp14:editId="1EB6D8B7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A4B686" wp14:editId="34FB2EE9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5D6AAA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5D6AAA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E550E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4B6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5D6AAA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5D6AAA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5D6AAA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4380A1" wp14:editId="6FAA6E1D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943ED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4F2F44" wp14:editId="10D530BA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B03E6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5DBB0E22" wp14:editId="6C1A21E3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E8"/>
    <w:rsid w:val="00171DE8"/>
    <w:rsid w:val="00265ACF"/>
    <w:rsid w:val="00447BEB"/>
    <w:rsid w:val="005D6AAA"/>
    <w:rsid w:val="006257D2"/>
    <w:rsid w:val="008542BD"/>
    <w:rsid w:val="00896386"/>
    <w:rsid w:val="00B40BF8"/>
    <w:rsid w:val="00BC7013"/>
    <w:rsid w:val="00C56083"/>
    <w:rsid w:val="00E550E8"/>
    <w:rsid w:val="00E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0EFA11-B5E5-46D4-8AA7-5621DC4C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E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1DE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1DE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171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71DE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E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ressaobshtenia\GOD_2024\RDMA_2024\pom_tabl_RDMA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5419864236513583"/>
          <c:y val="4.2835217804858862E-2"/>
          <c:w val="0.42235600943283103"/>
          <c:h val="0.8971929133858267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'graf1 2024'!$I$1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9999"/>
            </a:solidFill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'graf1 2024'!$G$2:$G$9</c:f>
              <c:strCache>
                <c:ptCount val="8"/>
                <c:pt idx="0">
                  <c:v>Държавно управление; Образование; Хуманно здравеопазване и социална дейност; Финансови и застрахователни дейности; Култура, спорт и развлечения, ремонт, домакински вещи и други дейности</c:v>
                </c:pt>
                <c:pt idx="1">
                  <c:v>Професионални дейности и научни изследвания; административни и спомагателни дейности</c:v>
                </c:pt>
                <c:pt idx="2">
                  <c:v>Операции с недвижими имоти</c:v>
                </c:pt>
                <c:pt idx="3">
                  <c:v>Създаване и разпространение на информация и творчески продукти; далекосъобщения</c:v>
                </c:pt>
                <c:pt idx="4">
                  <c:v>Търговия; ремонт на автомобили и мотоциклети; транспорт, складиране и пощи; хотелиерство и ресторантьорство</c:v>
                </c:pt>
                <c:pt idx="5">
                  <c:v>Строителство</c:v>
                </c:pt>
                <c:pt idx="6">
                  <c:v>Добивна, преработваща и друга промишленост; доставяне на води; канализационни услуги, управление на отпадъци и възстановяване</c:v>
                </c:pt>
                <c:pt idx="7">
                  <c:v>Селско, горско и рибно стопанство</c:v>
                </c:pt>
              </c:strCache>
            </c:strRef>
          </c:cat>
          <c:val>
            <c:numRef>
              <c:f>'graf1 2024'!$I$2:$I$9</c:f>
              <c:numCache>
                <c:formatCode>0.0</c:formatCode>
                <c:ptCount val="8"/>
                <c:pt idx="0">
                  <c:v>12.524878723059896</c:v>
                </c:pt>
                <c:pt idx="1">
                  <c:v>2.6827465235401933</c:v>
                </c:pt>
                <c:pt idx="2">
                  <c:v>2.8297223643863538</c:v>
                </c:pt>
                <c:pt idx="3">
                  <c:v>6.1021219637022166E-2</c:v>
                </c:pt>
                <c:pt idx="4">
                  <c:v>14.920234986374115</c:v>
                </c:pt>
                <c:pt idx="5">
                  <c:v>5.2714460060627539</c:v>
                </c:pt>
                <c:pt idx="6">
                  <c:v>44.533898490435639</c:v>
                </c:pt>
                <c:pt idx="7">
                  <c:v>17.176051686504032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9-4E1C-B187-FF9817952A2E}"/>
            </c:ext>
          </c:extLst>
        </c:ser>
        <c:ser>
          <c:idx val="0"/>
          <c:order val="1"/>
          <c:tx>
            <c:strRef>
              <c:f>'graf1 2024'!$H$1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CFF99"/>
            </a:solidFill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'graf1 2024'!$G$2:$G$9</c:f>
              <c:strCache>
                <c:ptCount val="8"/>
                <c:pt idx="0">
                  <c:v>Държавно управление; Образование; Хуманно здравеопазване и социална дейност; Финансови и застрахователни дейности; Култура, спорт и развлечения, ремонт, домакински вещи и други дейности</c:v>
                </c:pt>
                <c:pt idx="1">
                  <c:v>Професионални дейности и научни изследвания; административни и спомагателни дейности</c:v>
                </c:pt>
                <c:pt idx="2">
                  <c:v>Операции с недвижими имоти</c:v>
                </c:pt>
                <c:pt idx="3">
                  <c:v>Създаване и разпространение на информация и творчески продукти; далекосъобщения</c:v>
                </c:pt>
                <c:pt idx="4">
                  <c:v>Търговия; ремонт на автомобили и мотоциклети; транспорт, складиране и пощи; хотелиерство и ресторантьорство</c:v>
                </c:pt>
                <c:pt idx="5">
                  <c:v>Строителство</c:v>
                </c:pt>
                <c:pt idx="6">
                  <c:v>Добивна, преработваща и друга промишленост; доставяне на води; канализационни услуги, управление на отпадъци и възстановяване</c:v>
                </c:pt>
                <c:pt idx="7">
                  <c:v>Селско, горско и рибно стопанство</c:v>
                </c:pt>
              </c:strCache>
            </c:strRef>
          </c:cat>
          <c:val>
            <c:numRef>
              <c:f>'graf1 2024'!$H$2:$H$9</c:f>
              <c:numCache>
                <c:formatCode>0.0</c:formatCode>
                <c:ptCount val="8"/>
                <c:pt idx="0">
                  <c:v>28.9</c:v>
                </c:pt>
                <c:pt idx="1">
                  <c:v>2.2004085944597223</c:v>
                </c:pt>
                <c:pt idx="2">
                  <c:v>3.3231527269090004</c:v>
                </c:pt>
                <c:pt idx="3">
                  <c:v>0.10029884121953525</c:v>
                </c:pt>
                <c:pt idx="4">
                  <c:v>13.52307901000111</c:v>
                </c:pt>
                <c:pt idx="5">
                  <c:v>5.0098723108058296</c:v>
                </c:pt>
                <c:pt idx="6">
                  <c:v>35.79997232190447</c:v>
                </c:pt>
                <c:pt idx="7">
                  <c:v>11.205381060235483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9-4E1C-B187-FF9817952A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7656704"/>
        <c:axId val="67658496"/>
      </c:barChart>
      <c:catAx>
        <c:axId val="676567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anchor="ctr" anchorCtr="0"/>
          <a:lstStyle/>
          <a:p>
            <a:pPr>
              <a:defRPr sz="700">
                <a:solidFill>
                  <a:sysClr val="windowText" lastClr="000000"/>
                </a:solidFill>
              </a:defRPr>
            </a:pPr>
            <a:endParaRPr lang="bg-BG"/>
          </a:p>
        </c:txPr>
        <c:crossAx val="67658496"/>
        <c:crosses val="autoZero"/>
        <c:auto val="1"/>
        <c:lblAlgn val="ctr"/>
        <c:lblOffset val="100"/>
        <c:noMultiLvlLbl val="0"/>
      </c:catAx>
      <c:valAx>
        <c:axId val="67658496"/>
        <c:scaling>
          <c:orientation val="minMax"/>
          <c:max val="50"/>
          <c:min val="0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crossAx val="67656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254300065283722"/>
          <c:y val="0.94614435695538057"/>
          <c:w val="0.27902252255539423"/>
          <c:h val="5.152368482413502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bg-BG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aseline="0"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0.97312</cdr:x>
      <cdr:y>0.90744</cdr:y>
    </cdr:from>
    <cdr:to>
      <cdr:x>0.99444</cdr:x>
      <cdr:y>0.97586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01250" y="4295775"/>
          <a:ext cx="2190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%</a:t>
          </a:r>
          <a:endParaRPr lang="bg-BG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2957-9376-4250-B645-81B39284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2</cp:revision>
  <cp:lastPrinted>2026-01-12T13:07:00Z</cp:lastPrinted>
  <dcterms:created xsi:type="dcterms:W3CDTF">2026-01-22T08:50:00Z</dcterms:created>
  <dcterms:modified xsi:type="dcterms:W3CDTF">2026-01-22T08:50:00Z</dcterms:modified>
</cp:coreProperties>
</file>