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27F8" w:rsidRPr="00F76D42" w:rsidRDefault="00D127F8" w:rsidP="00D127F8">
      <w:pPr>
        <w:spacing w:before="720" w:after="0" w:line="360" w:lineRule="auto"/>
        <w:ind w:firstLine="567"/>
        <w:jc w:val="both"/>
        <w:rPr>
          <w:rFonts w:ascii="Verdana" w:hAnsi="Verdana"/>
          <w:sz w:val="20"/>
        </w:rPr>
      </w:pPr>
      <w:r w:rsidRPr="00AB0A0D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DC5EA" wp14:editId="794E9CD0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7F8" w:rsidRPr="004F6479" w:rsidRDefault="00D127F8" w:rsidP="00D127F8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D127F8" w:rsidRPr="004F6479" w:rsidRDefault="00D127F8" w:rsidP="00D127F8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DC5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D127F8" w:rsidRPr="004F6479" w:rsidRDefault="00D127F8" w:rsidP="00D127F8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D127F8" w:rsidRPr="004F6479" w:rsidRDefault="00D127F8" w:rsidP="00D127F8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27F8" w:rsidRPr="00D127F8" w:rsidRDefault="00D127F8" w:rsidP="00D127F8">
      <w:pPr>
        <w:tabs>
          <w:tab w:val="left" w:pos="3123"/>
        </w:tabs>
        <w:spacing w:line="360" w:lineRule="auto"/>
        <w:jc w:val="center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 xml:space="preserve">НАЕТИ ЛИЦА И СРЕДНА БРУТНА РАБОТНА ЗАПЛАТА В ОБЛАСТ СЛИВЕН ПРЕЗ </w:t>
      </w:r>
      <w:r w:rsidR="00B86F70">
        <w:rPr>
          <w:rFonts w:ascii="Verdana" w:eastAsia="Μοντέρνα" w:hAnsi="Verdana"/>
          <w:b/>
          <w:sz w:val="20"/>
          <w:szCs w:val="20"/>
          <w:lang w:eastAsia="bg-BG"/>
        </w:rPr>
        <w:t>ЧЕТВЪРТО</w:t>
      </w: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>ТО ТРИМЕСЕЧИЕ НА 2025 ГОДИНА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По предварителни данни на Националния статистически институт </w:t>
      </w: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>броят на наетите лица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по трудово и служебно правоотношение в област Сливен </w:t>
      </w:r>
      <w:r w:rsidR="000C0462">
        <w:rPr>
          <w:rFonts w:ascii="Verdana" w:eastAsia="Μοντέρνα" w:hAnsi="Verdana"/>
          <w:sz w:val="20"/>
          <w:szCs w:val="20"/>
          <w:lang w:eastAsia="bg-BG"/>
        </w:rPr>
        <w:t>в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края на </w:t>
      </w:r>
      <w:r w:rsidR="000B5DF5">
        <w:rPr>
          <w:rFonts w:ascii="Verdana" w:eastAsia="Μοντέρνα" w:hAnsi="Verdana"/>
          <w:sz w:val="20"/>
          <w:szCs w:val="20"/>
          <w:lang w:eastAsia="bg-BG"/>
        </w:rPr>
        <w:t>декември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спрямо края на </w:t>
      </w:r>
      <w:r w:rsidR="000B5DF5">
        <w:rPr>
          <w:rFonts w:ascii="Verdana" w:eastAsia="Μοντέρνα" w:hAnsi="Verdana"/>
          <w:sz w:val="20"/>
          <w:szCs w:val="20"/>
          <w:lang w:eastAsia="bg-BG"/>
        </w:rPr>
        <w:t>септември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2025 г.</w:t>
      </w:r>
      <w:r w:rsidR="000C0462">
        <w:rPr>
          <w:rFonts w:ascii="Verdana" w:eastAsia="Μοντέρνα" w:hAnsi="Verdana"/>
          <w:sz w:val="20"/>
          <w:szCs w:val="20"/>
          <w:lang w:eastAsia="bg-BG"/>
        </w:rPr>
        <w:t xml:space="preserve"> остава почти непроменен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, като достига 37.</w:t>
      </w:r>
      <w:r w:rsidR="000C0462">
        <w:rPr>
          <w:rFonts w:ascii="Verdana" w:eastAsia="Μοντέρνα" w:hAnsi="Verdana"/>
          <w:sz w:val="20"/>
          <w:szCs w:val="20"/>
          <w:lang w:eastAsia="bg-BG"/>
        </w:rPr>
        <w:t>0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хиляди (виж фиг. 1).</w:t>
      </w:r>
    </w:p>
    <w:p w:rsidR="00D127F8" w:rsidRPr="00D127F8" w:rsidRDefault="00D127F8" w:rsidP="00EC54DA">
      <w:pPr>
        <w:keepNext/>
        <w:tabs>
          <w:tab w:val="left" w:pos="3123"/>
        </w:tabs>
        <w:spacing w:before="160" w:after="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>Фиг. 1. Наети лица по трудово и служебно правоотношение по месеци</w:t>
      </w:r>
    </w:p>
    <w:p w:rsidR="00D127F8" w:rsidRDefault="00D127F8" w:rsidP="00EC54DA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>в област Сливен</w:t>
      </w:r>
    </w:p>
    <w:p w:rsidR="000C0462" w:rsidRPr="00D127F8" w:rsidRDefault="000C0462" w:rsidP="00D127F8">
      <w:pPr>
        <w:keepNext/>
        <w:tabs>
          <w:tab w:val="left" w:pos="3123"/>
        </w:tabs>
        <w:spacing w:after="0" w:line="360" w:lineRule="auto"/>
        <w:jc w:val="center"/>
        <w:rPr>
          <w:rFonts w:ascii="Verdana" w:eastAsia="Μοντέρνα" w:hAnsi="Verdana"/>
          <w:b/>
          <w:sz w:val="20"/>
          <w:szCs w:val="20"/>
          <w:lang w:val="en-US" w:eastAsia="bg-BG"/>
        </w:rPr>
      </w:pPr>
      <w:r>
        <w:rPr>
          <w:noProof/>
          <w:lang w:eastAsia="bg-BG"/>
        </w:rPr>
        <w:drawing>
          <wp:inline distT="0" distB="0" distL="0" distR="0" wp14:anchorId="11C9E258" wp14:editId="655AA755">
            <wp:extent cx="5760085" cy="360299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27F8" w:rsidRPr="00D127F8" w:rsidRDefault="00D127F8" w:rsidP="00D127F8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Спрямо края на </w:t>
      </w:r>
      <w:r w:rsidR="00B86F70">
        <w:rPr>
          <w:rFonts w:ascii="Verdana" w:eastAsia="Μοντέρνα" w:hAnsi="Verdana"/>
          <w:sz w:val="20"/>
          <w:szCs w:val="20"/>
          <w:lang w:eastAsia="bg-BG"/>
        </w:rPr>
        <w:t>трето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то тримесечие на 2025 г. наетите лица в обществения сектор се увеличават с 1.</w:t>
      </w:r>
      <w:r w:rsidR="0077722F">
        <w:rPr>
          <w:rFonts w:ascii="Verdana" w:eastAsia="Μοντέρνα" w:hAnsi="Verdana"/>
          <w:sz w:val="20"/>
          <w:szCs w:val="20"/>
          <w:lang w:eastAsia="bg-BG"/>
        </w:rPr>
        <w:t>4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%, а в частния сектор намаляват с </w:t>
      </w:r>
      <w:r w:rsidR="0077722F">
        <w:rPr>
          <w:rFonts w:ascii="Verdana" w:eastAsia="Μοντέρνα" w:hAnsi="Verdana"/>
          <w:sz w:val="20"/>
          <w:szCs w:val="20"/>
          <w:lang w:eastAsia="bg-BG"/>
        </w:rPr>
        <w:t>0.7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% и достигат до 24.</w:t>
      </w:r>
      <w:r w:rsidR="0077722F">
        <w:rPr>
          <w:rFonts w:ascii="Verdana" w:eastAsia="Μοντέρνα" w:hAnsi="Verdana"/>
          <w:sz w:val="20"/>
          <w:szCs w:val="20"/>
          <w:lang w:eastAsia="bg-BG"/>
        </w:rPr>
        <w:t>5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хиляди.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Спрямо края на </w:t>
      </w:r>
      <w:r w:rsidR="000B5DF5">
        <w:rPr>
          <w:rFonts w:ascii="Verdana" w:eastAsia="Μοντέρνα" w:hAnsi="Verdana"/>
          <w:sz w:val="20"/>
          <w:szCs w:val="20"/>
          <w:lang w:eastAsia="bg-BG"/>
        </w:rPr>
        <w:t>септември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2025 г. най-голямо намаление на наетите лица по трудово и служебно правоотношение в абсолютна стойност е регистрирано в икономическите дейности </w:t>
      </w:r>
      <w:r w:rsidR="0077722F" w:rsidRPr="00D127F8">
        <w:rPr>
          <w:rFonts w:ascii="Verdana" w:eastAsia="Μοντέρνα" w:hAnsi="Verdana"/>
          <w:sz w:val="20"/>
          <w:szCs w:val="20"/>
          <w:lang w:eastAsia="bg-BG"/>
        </w:rPr>
        <w:t>„Преработваща промишленост“</w:t>
      </w:r>
      <w:r w:rsidR="0077722F">
        <w:rPr>
          <w:rFonts w:ascii="Verdana" w:eastAsia="Μοντέρνα" w:hAnsi="Verdana"/>
          <w:sz w:val="20"/>
          <w:szCs w:val="20"/>
          <w:lang w:eastAsia="bg-BG"/>
        </w:rPr>
        <w:t>, „Транспорт, складиране и пощи“ и „Строителство“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. Най-голямо увеличение на наетите лица се наблюдава в икономическите дейности: „</w:t>
      </w:r>
      <w:r w:rsidR="0077722F">
        <w:rPr>
          <w:rFonts w:ascii="Verdana" w:eastAsia="Μοντέρνα" w:hAnsi="Verdana"/>
          <w:sz w:val="20"/>
          <w:szCs w:val="20"/>
          <w:lang w:eastAsia="bg-BG"/>
        </w:rPr>
        <w:t>Административни и спомагателни дейности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“, „Хуманно 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lastRenderedPageBreak/>
        <w:t xml:space="preserve">здравеопазване и социална работа“ и </w:t>
      </w:r>
      <w:r w:rsidR="0077722F" w:rsidRPr="00D127F8">
        <w:rPr>
          <w:rFonts w:ascii="Verdana" w:eastAsia="Μοντέρνα" w:hAnsi="Verdana"/>
          <w:sz w:val="20"/>
          <w:szCs w:val="20"/>
          <w:lang w:eastAsia="bg-BG"/>
        </w:rPr>
        <w:t>„Търговия; ремонт на автомобили и мотоциклети“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В края на </w:t>
      </w:r>
      <w:r w:rsidR="000B5DF5">
        <w:rPr>
          <w:rFonts w:ascii="Verdana" w:eastAsia="Μοντέρνα" w:hAnsi="Verdana"/>
          <w:sz w:val="20"/>
          <w:szCs w:val="20"/>
          <w:lang w:eastAsia="bg-BG"/>
        </w:rPr>
        <w:t>декември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2025 г. броят на наетите лица по трудово и служебно правоотношение в област Сливен се увеличава с </w:t>
      </w:r>
      <w:r w:rsidR="006601D5">
        <w:rPr>
          <w:rFonts w:ascii="Verdana" w:eastAsia="Μοντέρνα" w:hAnsi="Verdana"/>
          <w:sz w:val="20"/>
          <w:szCs w:val="20"/>
          <w:lang w:eastAsia="bg-BG"/>
        </w:rPr>
        <w:t>1.4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% в сравнение със същия период на предходната година. В обществения сектор наетите се увеличават с </w:t>
      </w:r>
      <w:r w:rsidR="006601D5">
        <w:rPr>
          <w:rFonts w:ascii="Verdana" w:eastAsia="Μοντέρνα" w:hAnsi="Verdana"/>
          <w:sz w:val="20"/>
          <w:szCs w:val="20"/>
          <w:lang w:eastAsia="bg-BG"/>
        </w:rPr>
        <w:t>2.7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%, а в частния сектор </w:t>
      </w:r>
      <w:r w:rsidR="00E9764E">
        <w:rPr>
          <w:rFonts w:ascii="Verdana" w:eastAsia="Μοντέρνα" w:hAnsi="Verdana"/>
          <w:sz w:val="20"/>
          <w:szCs w:val="20"/>
          <w:lang w:eastAsia="bg-BG"/>
        </w:rPr>
        <w:t>-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с 0.</w:t>
      </w:r>
      <w:r w:rsidR="00E9764E">
        <w:rPr>
          <w:rFonts w:ascii="Verdana" w:eastAsia="Μοντέρνα" w:hAnsi="Verdana"/>
          <w:sz w:val="20"/>
          <w:szCs w:val="20"/>
          <w:lang w:eastAsia="bg-BG"/>
        </w:rPr>
        <w:t>7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%.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В структурата на наетите лица по икономически дейности най-голям е относителният дял на наетите по трудово и служебно правоотношение в дейностите </w:t>
      </w:r>
      <w:bookmarkStart w:id="1" w:name="_Hlk214664613"/>
      <w:r w:rsidRPr="00D127F8">
        <w:rPr>
          <w:rFonts w:ascii="Verdana" w:eastAsia="Μοντέρνα" w:hAnsi="Verdana"/>
          <w:sz w:val="20"/>
          <w:szCs w:val="20"/>
          <w:lang w:eastAsia="bg-BG"/>
        </w:rPr>
        <w:t>„Преработваща промишленост“</w:t>
      </w:r>
      <w:bookmarkEnd w:id="1"/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- 25.</w:t>
      </w:r>
      <w:r w:rsidR="00E9764E">
        <w:rPr>
          <w:rFonts w:ascii="Verdana" w:eastAsia="Μοντέρνα" w:hAnsi="Verdana"/>
          <w:sz w:val="20"/>
          <w:szCs w:val="20"/>
          <w:lang w:eastAsia="bg-BG"/>
        </w:rPr>
        <w:t>1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%, „Търговия; ремонт на автомобили и мотоциклети“ - 15.</w:t>
      </w:r>
      <w:r w:rsidR="00E9764E">
        <w:rPr>
          <w:rFonts w:ascii="Verdana" w:eastAsia="Μοντέρνα" w:hAnsi="Verdana"/>
          <w:sz w:val="20"/>
          <w:szCs w:val="20"/>
          <w:lang w:eastAsia="bg-BG"/>
        </w:rPr>
        <w:t>4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% и „Хуманно здравеопазване и социална работа“ - 13.</w:t>
      </w:r>
      <w:r w:rsidR="00E9764E">
        <w:rPr>
          <w:rFonts w:ascii="Verdana" w:eastAsia="Μοντέρνα" w:hAnsi="Verdana"/>
          <w:sz w:val="20"/>
          <w:szCs w:val="20"/>
          <w:lang w:eastAsia="bg-BG"/>
        </w:rPr>
        <w:t>8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%.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В област Сливен </w:t>
      </w: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>средната брутна месечна работна заплата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през </w:t>
      </w:r>
      <w:r w:rsidR="00B86F70">
        <w:rPr>
          <w:rFonts w:ascii="Verdana" w:eastAsia="Μοντέρνα" w:hAnsi="Verdana"/>
          <w:sz w:val="20"/>
          <w:szCs w:val="20"/>
          <w:lang w:eastAsia="bg-BG"/>
        </w:rPr>
        <w:t>четвърто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то тримесечие на 2025 г. е 1 </w:t>
      </w:r>
      <w:r w:rsidR="00E9764E">
        <w:rPr>
          <w:rFonts w:ascii="Verdana" w:eastAsia="Μοντέρνα" w:hAnsi="Verdana"/>
          <w:sz w:val="20"/>
          <w:szCs w:val="20"/>
          <w:lang w:eastAsia="bg-BG"/>
        </w:rPr>
        <w:t>979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лв., при 2 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678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лв. средна за страната.</w:t>
      </w:r>
    </w:p>
    <w:p w:rsidR="00D127F8" w:rsidRPr="00D127F8" w:rsidRDefault="00D127F8" w:rsidP="00D127F8">
      <w:pPr>
        <w:keepNext/>
        <w:tabs>
          <w:tab w:val="left" w:pos="3123"/>
        </w:tabs>
        <w:spacing w:before="160" w:after="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>Фиг. 2. Средна брутна месечна работна заплата по тримесечия</w:t>
      </w:r>
    </w:p>
    <w:p w:rsidR="00D127F8" w:rsidRPr="00D127F8" w:rsidRDefault="00D127F8" w:rsidP="00D127F8">
      <w:pPr>
        <w:keepNext/>
        <w:tabs>
          <w:tab w:val="left" w:pos="3123"/>
        </w:tabs>
        <w:spacing w:line="360" w:lineRule="auto"/>
        <w:jc w:val="center"/>
        <w:rPr>
          <w:rFonts w:ascii="Verdana" w:eastAsia="Μοντέρνα" w:hAnsi="Verdana"/>
          <w:sz w:val="20"/>
          <w:szCs w:val="20"/>
          <w:lang w:val="en-US" w:eastAsia="bg-BG"/>
        </w:rPr>
      </w:pP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>в област Сливен</w:t>
      </w:r>
    </w:p>
    <w:p w:rsidR="00D127F8" w:rsidRPr="00D127F8" w:rsidRDefault="004E4C79" w:rsidP="00D127F8">
      <w:pPr>
        <w:tabs>
          <w:tab w:val="left" w:pos="3123"/>
        </w:tabs>
        <w:spacing w:after="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57C548D8" wp14:editId="66D23102">
            <wp:extent cx="5760085" cy="368046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3494F44B-3C2B-455B-8146-D80C4548C6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27F8" w:rsidRPr="00D127F8" w:rsidRDefault="00D127F8" w:rsidP="00D127F8">
      <w:pPr>
        <w:tabs>
          <w:tab w:val="left" w:pos="3123"/>
        </w:tabs>
        <w:spacing w:before="160"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В сравнение с останалите области на страната, по показателя средна брутна месечна работна заплата през </w:t>
      </w:r>
      <w:r w:rsidR="00B86F70">
        <w:rPr>
          <w:rFonts w:ascii="Verdana" w:eastAsia="Μοντέρνα" w:hAnsi="Verdana"/>
          <w:sz w:val="20"/>
          <w:szCs w:val="20"/>
          <w:lang w:eastAsia="bg-BG"/>
        </w:rPr>
        <w:t>четвърто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то тримесечие на 2025 г., област Сливен се нарежда на 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19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-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т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о място. Най-висока средна работна заплата получават наетите в област София (столица) - 3 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635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лв., а най-ниска - в областите Видин - 1 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846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лв. и Кюстендил - 1 7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93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лева.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През </w:t>
      </w:r>
      <w:r w:rsidR="00B86F70">
        <w:rPr>
          <w:rFonts w:ascii="Verdana" w:eastAsia="Μοντέρνα" w:hAnsi="Verdana"/>
          <w:sz w:val="20"/>
          <w:szCs w:val="20"/>
          <w:lang w:eastAsia="bg-BG"/>
        </w:rPr>
        <w:t>четвърто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то тримесечие на 2025 г. средната месечна работна заплата за област Сливен 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се увеличава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спрямо </w:t>
      </w:r>
      <w:r w:rsidR="00B86F70">
        <w:rPr>
          <w:rFonts w:ascii="Verdana" w:eastAsia="Μοντέρνα" w:hAnsi="Verdana"/>
          <w:sz w:val="20"/>
          <w:szCs w:val="20"/>
          <w:lang w:eastAsia="bg-BG"/>
        </w:rPr>
        <w:t>трето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то тримесечие на 2025 г. с 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5.0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%, като в 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lastRenderedPageBreak/>
        <w:t xml:space="preserve">обществения сектор бележи 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ръст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от 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8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.0% и достига 2 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520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лв., а в частния - с 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2.6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%, достигайки 1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 713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 лева.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val="en-US"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През </w:t>
      </w:r>
      <w:r w:rsidR="00B86F70">
        <w:rPr>
          <w:rFonts w:ascii="Verdana" w:eastAsia="Μοντέρνα" w:hAnsi="Verdana"/>
          <w:sz w:val="20"/>
          <w:szCs w:val="20"/>
          <w:lang w:eastAsia="bg-BG"/>
        </w:rPr>
        <w:t>четвърто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то тримесечие на 2025 г. средната месечна работна заплата за област Сливен нараства с 1</w:t>
      </w:r>
      <w:r w:rsidR="005A6FF2">
        <w:rPr>
          <w:rFonts w:ascii="Verdana" w:eastAsia="Μοντέρνα" w:hAnsi="Verdana"/>
          <w:sz w:val="20"/>
          <w:szCs w:val="20"/>
          <w:lang w:eastAsia="bg-BG"/>
        </w:rPr>
        <w:t>0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.9% в сравнение с </w:t>
      </w:r>
      <w:r w:rsidR="00B86F70">
        <w:rPr>
          <w:rFonts w:ascii="Verdana" w:eastAsia="Μοντέρνα" w:hAnsi="Verdana"/>
          <w:sz w:val="20"/>
          <w:szCs w:val="20"/>
          <w:lang w:eastAsia="bg-BG"/>
        </w:rPr>
        <w:t>четвърто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то тримесечие на 2024 година (виж фиг. 2).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 xml:space="preserve">Най-висока средна брутна месечна заплата получават наетите в секторите „Финансови и застрахователни дейности“, </w:t>
      </w:r>
      <w:r w:rsidR="005A6FF2" w:rsidRPr="00D127F8">
        <w:rPr>
          <w:rFonts w:ascii="Verdana" w:eastAsia="Μοντέρνα" w:hAnsi="Verdana"/>
          <w:sz w:val="20"/>
          <w:szCs w:val="20"/>
          <w:lang w:eastAsia="bg-BG"/>
        </w:rPr>
        <w:t xml:space="preserve">„Образование“ 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и</w:t>
      </w:r>
      <w:r w:rsidR="00EC54DA">
        <w:rPr>
          <w:rFonts w:ascii="Verdana" w:eastAsia="Μοντέρνα" w:hAnsi="Verdana"/>
          <w:sz w:val="20"/>
          <w:szCs w:val="20"/>
          <w:lang w:val="en-US" w:eastAsia="bg-BG"/>
        </w:rPr>
        <w:t xml:space="preserve"> </w:t>
      </w:r>
      <w:r w:rsidR="005A6FF2" w:rsidRPr="00D127F8">
        <w:rPr>
          <w:rFonts w:ascii="Verdana" w:eastAsia="Μοντέρνα" w:hAnsi="Verdana"/>
          <w:sz w:val="20"/>
          <w:szCs w:val="20"/>
          <w:lang w:eastAsia="bg-BG"/>
        </w:rPr>
        <w:t>„Държавно управление“</w:t>
      </w:r>
      <w:r w:rsidRPr="00D127F8">
        <w:rPr>
          <w:rFonts w:ascii="Verdana" w:eastAsia="Μοντέρνα" w:hAnsi="Verdana"/>
          <w:sz w:val="20"/>
          <w:szCs w:val="20"/>
          <w:lang w:eastAsia="bg-BG"/>
        </w:rPr>
        <w:t>.</w:t>
      </w:r>
    </w:p>
    <w:p w:rsidR="00D127F8" w:rsidRPr="00D127F8" w:rsidRDefault="00D127F8" w:rsidP="00D127F8">
      <w:pPr>
        <w:tabs>
          <w:tab w:val="left" w:pos="3123"/>
        </w:tabs>
        <w:spacing w:before="160" w:line="360" w:lineRule="auto"/>
        <w:jc w:val="center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b/>
          <w:sz w:val="20"/>
          <w:szCs w:val="20"/>
          <w:lang w:eastAsia="bg-BG"/>
        </w:rPr>
        <w:t>Методологични бележки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>Данните са получени от тримесечното Наблюдение на наетите лица, отработеното време, средствата за работна заплата и други разходи за труд, което има за цел да изследва текущото състояние и динамика на основни аспекти на пазара на труда.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>Наблюдението е репрезентативно, като се използва стратифицирана случайна извадка от предприятия. Генералната съвкупност се стратифицира по следните критерии: териториален признак - 28 административни области, икономическа дейност по КИД-2008 и размер на предприятието, според броя на наетите лица.</w:t>
      </w:r>
    </w:p>
    <w:p w:rsidR="00D127F8" w:rsidRPr="00D127F8" w:rsidRDefault="00D127F8" w:rsidP="00D127F8">
      <w:pPr>
        <w:tabs>
          <w:tab w:val="left" w:pos="3123"/>
        </w:tabs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D127F8">
        <w:rPr>
          <w:rFonts w:ascii="Verdana" w:eastAsia="Μοντέρνα" w:hAnsi="Verdana"/>
          <w:sz w:val="20"/>
          <w:szCs w:val="20"/>
          <w:lang w:eastAsia="bg-BG"/>
        </w:rPr>
        <w:t>Повече информация и данни за наетите лица, отработеното време, средствата за работна заплата и други разходи за труд са достъпни на сайта на НСИ, раздел „Пазар на труда“ (</w:t>
      </w:r>
      <w:hyperlink r:id="rId8" w:history="1">
        <w:r w:rsidRPr="00D127F8">
          <w:rPr>
            <w:rFonts w:ascii="Verdana" w:eastAsia="Μοντέρνα" w:hAnsi="Verdana"/>
            <w:color w:val="0563C1" w:themeColor="hyperlink"/>
            <w:sz w:val="20"/>
            <w:szCs w:val="20"/>
            <w:u w:val="single"/>
            <w:lang w:eastAsia="bg-BG"/>
          </w:rPr>
          <w:t>http://www.nsi.bg/node/3920/</w:t>
        </w:r>
      </w:hyperlink>
      <w:r w:rsidRPr="00D127F8">
        <w:rPr>
          <w:rFonts w:ascii="Verdana" w:eastAsia="Μοντέρνα" w:hAnsi="Verdana"/>
          <w:sz w:val="20"/>
          <w:szCs w:val="20"/>
          <w:lang w:eastAsia="bg-BG"/>
        </w:rPr>
        <w:t>).</w:t>
      </w:r>
    </w:p>
    <w:sectPr w:rsidR="00D127F8" w:rsidRPr="00D127F8" w:rsidSect="00FF1DB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66" w:rsidRDefault="00A95866" w:rsidP="00D127F8">
      <w:pPr>
        <w:spacing w:after="0" w:line="240" w:lineRule="auto"/>
      </w:pPr>
      <w:r>
        <w:separator/>
      </w:r>
    </w:p>
  </w:endnote>
  <w:endnote w:type="continuationSeparator" w:id="0">
    <w:p w:rsidR="00A95866" w:rsidRDefault="00A95866" w:rsidP="00D1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EA3762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F4324A" wp14:editId="2739E706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EA3762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26651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F4324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EA3762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26651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60961C" wp14:editId="5B6BB492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AC5A6D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DFB1D61" wp14:editId="35A2F1FF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1849A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 xml:space="preserve">, e-mail: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EA3762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EA3762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5BFB31B" wp14:editId="4646D08D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1328B0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BB7E7A" wp14:editId="24EFCC37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EA3762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26651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BB7E7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EA3762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26651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A95866" w:rsidP="00D83F28">
    <w:pPr>
      <w:pStyle w:val="Footer"/>
      <w:tabs>
        <w:tab w:val="clear" w:pos="4536"/>
        <w:tab w:val="clear" w:pos="9072"/>
      </w:tabs>
    </w:pPr>
  </w:p>
  <w:p w:rsidR="00D83F28" w:rsidRDefault="00A95866" w:rsidP="00D83F28">
    <w:pPr>
      <w:pStyle w:val="Footer"/>
      <w:tabs>
        <w:tab w:val="clear" w:pos="4536"/>
        <w:tab w:val="clear" w:pos="9072"/>
      </w:tabs>
    </w:pPr>
  </w:p>
  <w:p w:rsidR="00FF1DB5" w:rsidRDefault="00A95866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66" w:rsidRDefault="00A95866" w:rsidP="00D127F8">
      <w:pPr>
        <w:spacing w:after="0" w:line="240" w:lineRule="auto"/>
      </w:pPr>
      <w:r>
        <w:separator/>
      </w:r>
    </w:p>
  </w:footnote>
  <w:footnote w:type="continuationSeparator" w:id="0">
    <w:p w:rsidR="00A95866" w:rsidRDefault="00A95866" w:rsidP="00D1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F8" w:rsidRPr="00D127F8" w:rsidRDefault="00D127F8" w:rsidP="00D127F8">
    <w:pPr>
      <w:tabs>
        <w:tab w:val="left" w:pos="3123"/>
      </w:tabs>
      <w:spacing w:after="0" w:line="360" w:lineRule="auto"/>
      <w:jc w:val="center"/>
      <w:rPr>
        <w:rFonts w:ascii="Verdana" w:eastAsia="Μοντέρνα" w:hAnsi="Verdana"/>
        <w:sz w:val="20"/>
        <w:szCs w:val="20"/>
        <w:lang w:eastAsia="bg-BG"/>
      </w:rPr>
    </w:pPr>
    <w:r w:rsidRPr="00D127F8">
      <w:rPr>
        <w:rFonts w:ascii="Verdana" w:eastAsia="Μοντέρνα" w:hAnsi="Verdana"/>
        <w:b/>
        <w:sz w:val="20"/>
        <w:szCs w:val="20"/>
        <w:lang w:eastAsia="bg-BG"/>
      </w:rPr>
      <w:t xml:space="preserve">НАЕТИ ЛИЦА И СРЕДНА БРУТНА РАБОТНА ЗАПЛАТА В ОБЛАСТ СЛИВЕН ПРЕЗ </w:t>
    </w:r>
    <w:r w:rsidR="00B86F70">
      <w:rPr>
        <w:rFonts w:ascii="Verdana" w:eastAsia="Μοντέρνα" w:hAnsi="Verdana"/>
        <w:b/>
        <w:sz w:val="20"/>
        <w:szCs w:val="20"/>
        <w:lang w:eastAsia="bg-BG"/>
      </w:rPr>
      <w:t>ЧЕТВЪРТО</w:t>
    </w:r>
    <w:r w:rsidRPr="00D127F8">
      <w:rPr>
        <w:rFonts w:ascii="Verdana" w:eastAsia="Μοντέρνα" w:hAnsi="Verdana"/>
        <w:b/>
        <w:sz w:val="20"/>
        <w:szCs w:val="20"/>
        <w:lang w:eastAsia="bg-BG"/>
      </w:rPr>
      <w:t>ТО ТРИМЕСЕЧИЕ НА 2025 ГОДИНА</w:t>
    </w:r>
  </w:p>
  <w:p w:rsidR="00D83F28" w:rsidRPr="00171DE8" w:rsidRDefault="00EA3762" w:rsidP="00D127F8">
    <w:pPr>
      <w:spacing w:after="0" w:line="360" w:lineRule="auto"/>
      <w:rPr>
        <w:rFonts w:ascii="Verdana" w:hAnsi="Verdana"/>
        <w:b/>
        <w:sz w:val="20"/>
        <w:szCs w:val="20"/>
      </w:rPr>
    </w:pPr>
    <w:r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D2A4502" wp14:editId="49A61EB0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01ECD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EA3762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472AA2B8" wp14:editId="49B159F0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D43803" wp14:editId="6F758D2D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EA3762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EA3762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A95866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4380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EA3762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EA3762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EA3762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BB5D922" wp14:editId="5A57A279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1D50F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00F3D7" wp14:editId="129770ED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E534F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56D3E447" wp14:editId="19E949C4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F8"/>
    <w:rsid w:val="00026651"/>
    <w:rsid w:val="000B5DF5"/>
    <w:rsid w:val="000C0462"/>
    <w:rsid w:val="00265ACF"/>
    <w:rsid w:val="004A6F9F"/>
    <w:rsid w:val="004E4C79"/>
    <w:rsid w:val="005A6FF2"/>
    <w:rsid w:val="006601D5"/>
    <w:rsid w:val="0077722F"/>
    <w:rsid w:val="00A95866"/>
    <w:rsid w:val="00B40BF8"/>
    <w:rsid w:val="00B86F70"/>
    <w:rsid w:val="00C56083"/>
    <w:rsid w:val="00D127F8"/>
    <w:rsid w:val="00E9764E"/>
    <w:rsid w:val="00EA3762"/>
    <w:rsid w:val="00EC1613"/>
    <w:rsid w:val="00E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E46CC1C-5BB0-4325-B845-A8D9805E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F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27F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127F8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1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127F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2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7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i.bg/node/392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EDII\Naeti_sr_rz\Trud_2025\Tablici_Naeti_4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Naeti_sr_rz\Trud_2025\Tablici_Naeti_4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+mn-cs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'grafika IV 2025'!$A$2:$A$14</c:f>
              <c:strCache>
                <c:ptCount val="13"/>
                <c:pt idx="0">
                  <c:v>XII 2024</c:v>
                </c:pt>
                <c:pt idx="1">
                  <c:v>I 2025</c:v>
                </c:pt>
                <c:pt idx="2">
                  <c:v>II 2025</c:v>
                </c:pt>
                <c:pt idx="3">
                  <c:v>III 2025</c:v>
                </c:pt>
                <c:pt idx="4">
                  <c:v>IV 2025</c:v>
                </c:pt>
                <c:pt idx="5">
                  <c:v>V 2025</c:v>
                </c:pt>
                <c:pt idx="6">
                  <c:v>VI 2025</c:v>
                </c:pt>
                <c:pt idx="7">
                  <c:v>VII 2025</c:v>
                </c:pt>
                <c:pt idx="8">
                  <c:v>VIII 2025</c:v>
                </c:pt>
                <c:pt idx="9">
                  <c:v>IX 2025</c:v>
                </c:pt>
                <c:pt idx="10">
                  <c:v>X 2025</c:v>
                </c:pt>
                <c:pt idx="11">
                  <c:v>XI 2025</c:v>
                </c:pt>
                <c:pt idx="12">
                  <c:v>XII 2025</c:v>
                </c:pt>
              </c:strCache>
            </c:strRef>
          </c:cat>
          <c:val>
            <c:numRef>
              <c:f>'grafika IV 2025'!$B$2:$B$14</c:f>
              <c:numCache>
                <c:formatCode>0</c:formatCode>
                <c:ptCount val="13"/>
                <c:pt idx="0">
                  <c:v>36539</c:v>
                </c:pt>
                <c:pt idx="1">
                  <c:v>37394</c:v>
                </c:pt>
                <c:pt idx="2">
                  <c:v>37395</c:v>
                </c:pt>
                <c:pt idx="3">
                  <c:v>37496</c:v>
                </c:pt>
                <c:pt idx="4">
                  <c:v>37678</c:v>
                </c:pt>
                <c:pt idx="5">
                  <c:v>37889</c:v>
                </c:pt>
                <c:pt idx="6">
                  <c:v>37281</c:v>
                </c:pt>
                <c:pt idx="7">
                  <c:v>37558</c:v>
                </c:pt>
                <c:pt idx="8">
                  <c:v>37161</c:v>
                </c:pt>
                <c:pt idx="9">
                  <c:v>37064</c:v>
                </c:pt>
                <c:pt idx="10">
                  <c:v>37167</c:v>
                </c:pt>
                <c:pt idx="11">
                  <c:v>37366</c:v>
                </c:pt>
                <c:pt idx="12">
                  <c:v>37047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89-48A7-8678-BE221D9658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244459376"/>
        <c:axId val="1244453136"/>
      </c:barChart>
      <c:catAx>
        <c:axId val="124445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1244453136"/>
        <c:crosses val="autoZero"/>
        <c:auto val="1"/>
        <c:lblAlgn val="ctr"/>
        <c:lblOffset val="100"/>
        <c:noMultiLvlLbl val="0"/>
      </c:catAx>
      <c:valAx>
        <c:axId val="1244453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+mn-cs"/>
              </a:defRPr>
            </a:pPr>
            <a:endParaRPr lang="bg-BG"/>
          </a:p>
        </c:txPr>
        <c:crossAx val="1244459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>
              <a:lumMod val="95000"/>
              <a:lumOff val="5000"/>
            </a:schemeClr>
          </a:solidFill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6531706486505595E-2"/>
          <c:y val="9.4161613419012274E-2"/>
          <c:w val="0.87087270341207579"/>
          <c:h val="0.70271204917276497"/>
        </c:manualLayout>
      </c:layout>
      <c:lineChart>
        <c:grouping val="standard"/>
        <c:varyColors val="0"/>
        <c:ser>
          <c:idx val="0"/>
          <c:order val="0"/>
          <c:spPr>
            <a:ln w="12700"/>
          </c:spPr>
          <c:dLbls>
            <c:dLbl>
              <c:idx val="0"/>
              <c:layout>
                <c:manualLayout>
                  <c:x val="-2.1766625866993065E-2"/>
                  <c:y val="-4.1068070514174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41-41B1-B4BD-0CB87073B5D1}"/>
                </c:ext>
              </c:extLst>
            </c:dLbl>
            <c:dLbl>
              <c:idx val="1"/>
              <c:layout>
                <c:manualLayout>
                  <c:x val="-2.788657690738474E-2"/>
                  <c:y val="3.236743395581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41-41B1-B4BD-0CB87073B5D1}"/>
                </c:ext>
              </c:extLst>
            </c:dLbl>
            <c:dLbl>
              <c:idx val="2"/>
              <c:layout>
                <c:manualLayout>
                  <c:x val="-5.6446348429212603E-2"/>
                  <c:y val="-3.1489526452871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41-41B1-B4BD-0CB87073B5D1}"/>
                </c:ext>
              </c:extLst>
            </c:dLbl>
            <c:dLbl>
              <c:idx val="3"/>
              <c:layout>
                <c:manualLayout>
                  <c:x val="-2.584659322725422E-2"/>
                  <c:y val="3.8753129996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41-41B1-B4BD-0CB87073B5D1}"/>
                </c:ext>
              </c:extLst>
            </c:dLbl>
            <c:dLbl>
              <c:idx val="4"/>
              <c:layout>
                <c:manualLayout>
                  <c:x val="-5.6446348429212603E-2"/>
                  <c:y val="-4.1068070514174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41-41B1-B4BD-0CB87073B5D1}"/>
                </c:ext>
              </c:extLst>
            </c:dLbl>
            <c:dLbl>
              <c:idx val="5"/>
              <c:layout>
                <c:manualLayout>
                  <c:x val="-3.604651162790698E-2"/>
                  <c:y val="3.8753129996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41-41B1-B4BD-0CB87073B5D1}"/>
                </c:ext>
              </c:extLst>
            </c:dLbl>
            <c:dLbl>
              <c:idx val="6"/>
              <c:layout>
                <c:manualLayout>
                  <c:x val="-6.2566299469604236E-2"/>
                  <c:y val="-3.14895264528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41-41B1-B4BD-0CB87073B5D1}"/>
                </c:ext>
              </c:extLst>
            </c:dLbl>
            <c:dLbl>
              <c:idx val="7"/>
              <c:layout>
                <c:manualLayout>
                  <c:x val="-1.9788510065389661E-2"/>
                  <c:y val="4.052808616314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62206286886386E-2"/>
                      <c:h val="4.830374464061557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341-41B1-B4BD-0CB87073B5D1}"/>
                </c:ext>
              </c:extLst>
            </c:dLbl>
            <c:dLbl>
              <c:idx val="8"/>
              <c:layout>
                <c:manualLayout>
                  <c:x val="-6.4606283149734808E-2"/>
                  <c:y val="-3.14895264528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341-41B1-B4BD-0CB87073B5D1}"/>
                </c:ext>
              </c:extLst>
            </c:dLbl>
            <c:dLbl>
              <c:idx val="9"/>
              <c:layout>
                <c:manualLayout>
                  <c:x val="-1.7686658506731873E-2"/>
                  <c:y val="4.8331674057984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41-41B1-B4BD-0CB87073B5D1}"/>
                </c:ext>
              </c:extLst>
            </c:dLbl>
            <c:dLbl>
              <c:idx val="10"/>
              <c:layout>
                <c:manualLayout>
                  <c:x val="-6.0526315789473761E-2"/>
                  <c:y val="-4.7453766555042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341-41B1-B4BD-0CB87073B5D1}"/>
                </c:ext>
              </c:extLst>
            </c:dLbl>
            <c:dLbl>
              <c:idx val="11"/>
              <c:layout>
                <c:manualLayout>
                  <c:x val="-2.7886576907384889E-2"/>
                  <c:y val="3.2367433955812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341-41B1-B4BD-0CB87073B5D1}"/>
                </c:ext>
              </c:extLst>
            </c:dLbl>
            <c:dLbl>
              <c:idx val="12"/>
              <c:layout>
                <c:manualLayout>
                  <c:x val="-5.8486332109343127E-2"/>
                  <c:y val="-4.42609185346084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341-41B1-B4BD-0CB87073B5D1}"/>
                </c:ext>
              </c:extLst>
            </c:dLbl>
            <c:dLbl>
              <c:idx val="13"/>
              <c:layout>
                <c:manualLayout>
                  <c:x val="-2.5846593227254182E-2"/>
                  <c:y val="5.7910218119286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341-41B1-B4BD-0CB87073B5D1}"/>
                </c:ext>
              </c:extLst>
            </c:dLbl>
            <c:dLbl>
              <c:idx val="14"/>
              <c:layout>
                <c:manualLayout>
                  <c:x val="-5.6446348429212569E-2"/>
                  <c:y val="-4.7453766555042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341-41B1-B4BD-0CB87073B5D1}"/>
                </c:ext>
              </c:extLst>
            </c:dLbl>
            <c:dLbl>
              <c:idx val="15"/>
              <c:layout>
                <c:manualLayout>
                  <c:x val="-2.5222872232770168E-2"/>
                  <c:y val="5.7910218119286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341-41B1-B4BD-0CB87073B5D1}"/>
                </c:ext>
              </c:extLst>
            </c:dLbl>
            <c:spPr>
              <a:solidFill>
                <a:schemeClr val="bg1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'заплата IV 2025'!$B$3:$B$19</c:f>
              <c:strCache>
                <c:ptCount val="17"/>
                <c:pt idx="0">
                  <c:v>IV 2021</c:v>
                </c:pt>
                <c:pt idx="1">
                  <c:v>I 2022</c:v>
                </c:pt>
                <c:pt idx="2">
                  <c:v>II 2022</c:v>
                </c:pt>
                <c:pt idx="3">
                  <c:v>III 2022</c:v>
                </c:pt>
                <c:pt idx="4">
                  <c:v>IV 2022</c:v>
                </c:pt>
                <c:pt idx="5">
                  <c:v>I 2023</c:v>
                </c:pt>
                <c:pt idx="6">
                  <c:v>II 2023</c:v>
                </c:pt>
                <c:pt idx="7">
                  <c:v>III 2023</c:v>
                </c:pt>
                <c:pt idx="8">
                  <c:v>IV 2023</c:v>
                </c:pt>
                <c:pt idx="9">
                  <c:v>I 2024</c:v>
                </c:pt>
                <c:pt idx="10">
                  <c:v>II 2024</c:v>
                </c:pt>
                <c:pt idx="11">
                  <c:v>III 2024</c:v>
                </c:pt>
                <c:pt idx="12">
                  <c:v>IV 2024</c:v>
                </c:pt>
                <c:pt idx="13">
                  <c:v>I 2025</c:v>
                </c:pt>
                <c:pt idx="14">
                  <c:v>II 2025</c:v>
                </c:pt>
                <c:pt idx="15">
                  <c:v>III 2025</c:v>
                </c:pt>
                <c:pt idx="16">
                  <c:v>IV 2025</c:v>
                </c:pt>
              </c:strCache>
            </c:strRef>
          </c:cat>
          <c:val>
            <c:numRef>
              <c:f>'заплата IV 2025'!$C$3:$C$19</c:f>
              <c:numCache>
                <c:formatCode>[$-10409]0</c:formatCode>
                <c:ptCount val="17"/>
                <c:pt idx="0">
                  <c:v>1171</c:v>
                </c:pt>
                <c:pt idx="1">
                  <c:v>1159</c:v>
                </c:pt>
                <c:pt idx="2">
                  <c:v>1284</c:v>
                </c:pt>
                <c:pt idx="3">
                  <c:v>1285</c:v>
                </c:pt>
                <c:pt idx="4">
                  <c:v>1379</c:v>
                </c:pt>
                <c:pt idx="5">
                  <c:v>1385</c:v>
                </c:pt>
                <c:pt idx="6">
                  <c:v>1446</c:v>
                </c:pt>
                <c:pt idx="7">
                  <c:v>1495</c:v>
                </c:pt>
                <c:pt idx="8">
                  <c:v>1582</c:v>
                </c:pt>
                <c:pt idx="9">
                  <c:v>1607</c:v>
                </c:pt>
                <c:pt idx="10" formatCode="General">
                  <c:v>1673</c:v>
                </c:pt>
                <c:pt idx="11" formatCode="General">
                  <c:v>1670</c:v>
                </c:pt>
                <c:pt idx="12" formatCode="General">
                  <c:v>1785</c:v>
                </c:pt>
                <c:pt idx="13">
                  <c:v>1756</c:v>
                </c:pt>
                <c:pt idx="14">
                  <c:v>1919</c:v>
                </c:pt>
                <c:pt idx="15" formatCode="General">
                  <c:v>1885</c:v>
                </c:pt>
                <c:pt idx="16">
                  <c:v>1979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C341-41B1-B4BD-0CB87073B5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4451784"/>
        <c:axId val="1"/>
      </c:lineChart>
      <c:catAx>
        <c:axId val="604451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1000"/>
        </c:scaling>
        <c:delete val="0"/>
        <c:axPos val="l"/>
        <c:majorGridlines/>
        <c:numFmt formatCode="[$-10409]0" sourceLinked="1"/>
        <c:majorTickMark val="out"/>
        <c:minorTickMark val="none"/>
        <c:tickLblPos val="nextTo"/>
        <c:txPr>
          <a:bodyPr rot="0" vert="horz"/>
          <a:lstStyle/>
          <a:p>
            <a:pPr>
              <a:defRPr>
                <a:solidFill>
                  <a:schemeClr val="tx1"/>
                </a:solidFill>
              </a:defRPr>
            </a:pPr>
            <a:endParaRPr lang="bg-BG"/>
          </a:p>
        </c:txPr>
        <c:crossAx val="604451784"/>
        <c:crosses val="autoZero"/>
        <c:crossBetween val="between"/>
        <c:majorUnit val="10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Verdana" panose="020B0604030504040204" pitchFamily="34" charset="0"/>
          <a:ea typeface="Verdana" panose="020B0604030504040204" pitchFamily="34" charset="0"/>
          <a:cs typeface="Times New Roman"/>
        </a:defRPr>
      </a:pPr>
      <a:endParaRPr lang="bg-BG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0.01786</cdr:x>
      <cdr:y>0.00615</cdr:y>
    </cdr:from>
    <cdr:to>
      <cdr:x>0.12451</cdr:x>
      <cdr:y>0.09116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301" y="25441"/>
          <a:ext cx="685800" cy="3307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bg-BG" sz="800">
              <a:solidFill>
                <a:schemeClr val="tx1"/>
              </a:solidFill>
              <a:latin typeface="Verdana" panose="020B0604030504040204" pitchFamily="34" charset="0"/>
              <a:ea typeface="Verdana" panose="020B0604030504040204" pitchFamily="34" charset="0"/>
              <a:cs typeface="Times New Roman" pitchFamily="18" charset="0"/>
            </a:rPr>
            <a:t>Левове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7</cp:revision>
  <dcterms:created xsi:type="dcterms:W3CDTF">2026-02-17T09:29:00Z</dcterms:created>
  <dcterms:modified xsi:type="dcterms:W3CDTF">2026-02-19T11:31:00Z</dcterms:modified>
</cp:coreProperties>
</file>