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53" w:rsidRPr="005F6BC6" w:rsidRDefault="00E06A53" w:rsidP="00E06A53">
      <w:pPr>
        <w:spacing w:before="720"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5F6BC6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252327" wp14:editId="15C27958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53" w:rsidRPr="004F6479" w:rsidRDefault="00E06A53" w:rsidP="00E06A53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E06A53" w:rsidRPr="004F6479" w:rsidRDefault="00E06A53" w:rsidP="00E06A53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52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E06A53" w:rsidRPr="004F6479" w:rsidRDefault="00E06A53" w:rsidP="00E06A53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E06A53" w:rsidRPr="004F6479" w:rsidRDefault="00E06A53" w:rsidP="00E06A53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6A53" w:rsidRPr="005F6BC6" w:rsidRDefault="00E06A53" w:rsidP="00E06A53">
      <w:pPr>
        <w:spacing w:line="360" w:lineRule="auto"/>
        <w:contextualSpacing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5F6BC6">
        <w:rPr>
          <w:rFonts w:ascii="Verdana" w:eastAsiaTheme="minorHAnsi" w:hAnsi="Verdana" w:cstheme="minorBidi"/>
          <w:b/>
          <w:sz w:val="20"/>
          <w:szCs w:val="20"/>
        </w:rPr>
        <w:t xml:space="preserve">БРУТЕН ВЪТРЕШЕН ПРОДУКТ И БРУТНА ДОБАВЕНА СТОЙНОСТ ПО ИКОНОМИЧЕСКИ СЕКТОРИ В ОБЛАСТ СЛИВЕН ПРЕЗ </w:t>
      </w:r>
      <w:r>
        <w:rPr>
          <w:rFonts w:ascii="Verdana" w:eastAsiaTheme="minorHAnsi" w:hAnsi="Verdana" w:cstheme="minorBidi"/>
          <w:b/>
          <w:sz w:val="20"/>
          <w:szCs w:val="20"/>
        </w:rPr>
        <w:t>2024</w:t>
      </w:r>
      <w:r w:rsidRPr="005F6BC6">
        <w:rPr>
          <w:rFonts w:ascii="Verdana" w:eastAsiaTheme="minorHAnsi" w:hAnsi="Verdana" w:cstheme="minorBidi"/>
          <w:b/>
          <w:sz w:val="20"/>
          <w:szCs w:val="20"/>
        </w:rPr>
        <w:t xml:space="preserve"> ГОДИНА</w:t>
      </w:r>
    </w:p>
    <w:p w:rsidR="00E06A53" w:rsidRPr="005F6BC6" w:rsidRDefault="00E06A53" w:rsidP="00E06A53">
      <w:pPr>
        <w:spacing w:before="160" w:after="0" w:line="360" w:lineRule="auto"/>
        <w:ind w:firstLine="567"/>
        <w:contextualSpacing/>
        <w:jc w:val="both"/>
        <w:rPr>
          <w:rFonts w:ascii="Verdana" w:eastAsiaTheme="minorHAnsi" w:hAnsi="Verdana" w:cstheme="minorBidi"/>
          <w:sz w:val="20"/>
          <w:szCs w:val="20"/>
        </w:rPr>
      </w:pPr>
      <w:r w:rsidRPr="005F6BC6">
        <w:rPr>
          <w:rFonts w:ascii="Verdana" w:eastAsiaTheme="minorHAnsi" w:hAnsi="Verdana" w:cstheme="minorBidi"/>
          <w:sz w:val="20"/>
          <w:szCs w:val="20"/>
        </w:rPr>
        <w:t xml:space="preserve">По окончателни данни произведеният брутен вътрешен продукт (БВП) за област Сливен през </w:t>
      </w:r>
      <w:r>
        <w:rPr>
          <w:rFonts w:ascii="Verdana" w:eastAsiaTheme="minorHAnsi" w:hAnsi="Verdana" w:cstheme="minorBidi"/>
          <w:sz w:val="20"/>
          <w:szCs w:val="20"/>
        </w:rPr>
        <w:t>2024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година е </w:t>
      </w:r>
      <w:r>
        <w:rPr>
          <w:rFonts w:ascii="Verdana" w:eastAsiaTheme="minorHAnsi" w:hAnsi="Verdana" w:cstheme="minorBidi"/>
          <w:sz w:val="20"/>
          <w:szCs w:val="20"/>
          <w:lang w:val="en-US"/>
        </w:rPr>
        <w:t>2</w:t>
      </w:r>
      <w:r w:rsidRPr="005F6BC6">
        <w:rPr>
          <w:rFonts w:ascii="Verdana" w:eastAsiaTheme="minorHAnsi" w:hAnsi="Verdana" w:cstheme="minorBidi"/>
          <w:sz w:val="20"/>
          <w:szCs w:val="20"/>
        </w:rPr>
        <w:t> </w:t>
      </w:r>
      <w:r>
        <w:rPr>
          <w:rFonts w:ascii="Verdana" w:eastAsiaTheme="minorHAnsi" w:hAnsi="Verdana" w:cstheme="minorBidi"/>
          <w:sz w:val="20"/>
          <w:szCs w:val="20"/>
          <w:lang w:val="en-US"/>
        </w:rPr>
        <w:t>223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млн. </w:t>
      </w:r>
      <w:r>
        <w:rPr>
          <w:rFonts w:ascii="Verdana" w:eastAsiaTheme="minorHAnsi" w:hAnsi="Verdana" w:cstheme="minorBidi"/>
          <w:sz w:val="20"/>
          <w:szCs w:val="20"/>
        </w:rPr>
        <w:t>лв.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по текущи цени. Това нарежда областта на 1</w:t>
      </w:r>
      <w:r>
        <w:rPr>
          <w:rFonts w:ascii="Verdana" w:eastAsiaTheme="minorHAnsi" w:hAnsi="Verdana" w:cstheme="minorBidi"/>
          <w:sz w:val="20"/>
          <w:szCs w:val="20"/>
        </w:rPr>
        <w:t>8-то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място в страната. В сравнение с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г. обемът му </w:t>
      </w:r>
      <w:r>
        <w:rPr>
          <w:rFonts w:ascii="Verdana" w:eastAsiaTheme="minorHAnsi" w:hAnsi="Verdana" w:cstheme="minorBidi"/>
          <w:sz w:val="20"/>
          <w:szCs w:val="20"/>
        </w:rPr>
        <w:t>е намалял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с </w:t>
      </w:r>
      <w:r>
        <w:rPr>
          <w:rFonts w:ascii="Verdana" w:eastAsiaTheme="minorHAnsi" w:hAnsi="Verdana" w:cstheme="minorBidi"/>
          <w:sz w:val="20"/>
          <w:szCs w:val="20"/>
        </w:rPr>
        <w:t>3.3</w:t>
      </w:r>
      <w:r w:rsidRPr="005F6BC6">
        <w:rPr>
          <w:rFonts w:ascii="Verdana" w:eastAsiaTheme="minorHAnsi" w:hAnsi="Verdana" w:cstheme="minorBidi"/>
          <w:sz w:val="20"/>
          <w:szCs w:val="20"/>
        </w:rPr>
        <w:t>%. Произведения в област Сливен БВП е 1.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% от общо произведения за страната. На човек от населението се падат </w:t>
      </w:r>
      <w:r>
        <w:rPr>
          <w:rFonts w:ascii="Verdana" w:eastAsiaTheme="minorHAnsi" w:hAnsi="Verdana" w:cstheme="minorBidi"/>
          <w:sz w:val="20"/>
          <w:szCs w:val="20"/>
        </w:rPr>
        <w:t>13 103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лв.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от стойностния обем на показателя.</w:t>
      </w:r>
    </w:p>
    <w:p w:rsidR="00E06A53" w:rsidRPr="005F6BC6" w:rsidRDefault="00E06A53" w:rsidP="000A4267">
      <w:pPr>
        <w:spacing w:after="0" w:line="360" w:lineRule="auto"/>
        <w:ind w:firstLine="567"/>
        <w:contextualSpacing/>
        <w:jc w:val="both"/>
        <w:rPr>
          <w:rFonts w:ascii="Verdana" w:eastAsiaTheme="minorHAnsi" w:hAnsi="Verdana" w:cstheme="minorBidi"/>
          <w:sz w:val="20"/>
          <w:szCs w:val="20"/>
        </w:rPr>
      </w:pPr>
      <w:r w:rsidRPr="005F6BC6">
        <w:rPr>
          <w:rFonts w:ascii="Verdana" w:eastAsiaTheme="minorHAnsi" w:hAnsi="Verdana" w:cstheme="minorBidi"/>
          <w:sz w:val="20"/>
          <w:szCs w:val="20"/>
        </w:rPr>
        <w:t xml:space="preserve">Създадената през </w:t>
      </w:r>
      <w:r>
        <w:rPr>
          <w:rFonts w:ascii="Verdana" w:eastAsiaTheme="minorHAnsi" w:hAnsi="Verdana" w:cstheme="minorBidi"/>
          <w:sz w:val="20"/>
          <w:szCs w:val="20"/>
        </w:rPr>
        <w:t>2024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г. брутна добавена стойност (БДС) в област Сливен възлиза на </w:t>
      </w:r>
      <w:r>
        <w:rPr>
          <w:rFonts w:ascii="Verdana" w:eastAsiaTheme="minorHAnsi" w:hAnsi="Verdana" w:cstheme="minorBidi"/>
          <w:sz w:val="20"/>
          <w:szCs w:val="20"/>
        </w:rPr>
        <w:t>1 940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млн. </w:t>
      </w:r>
      <w:r>
        <w:rPr>
          <w:rFonts w:ascii="Verdana" w:eastAsiaTheme="minorHAnsi" w:hAnsi="Verdana" w:cstheme="minorBidi"/>
          <w:sz w:val="20"/>
          <w:szCs w:val="20"/>
        </w:rPr>
        <w:t>лв.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, което е с </w:t>
      </w:r>
      <w:r>
        <w:rPr>
          <w:rFonts w:ascii="Verdana" w:eastAsiaTheme="minorHAnsi" w:hAnsi="Verdana" w:cstheme="minorBidi"/>
          <w:sz w:val="20"/>
          <w:szCs w:val="20"/>
        </w:rPr>
        <w:t>3.7</w:t>
      </w:r>
      <w:r w:rsidRPr="005F6BC6">
        <w:rPr>
          <w:rFonts w:ascii="Verdana" w:eastAsiaTheme="minorHAnsi" w:hAnsi="Verdana" w:cstheme="minorBidi"/>
          <w:sz w:val="20"/>
          <w:szCs w:val="20"/>
        </w:rPr>
        <w:t>% по</w:t>
      </w:r>
      <w:r>
        <w:rPr>
          <w:rFonts w:ascii="Verdana" w:eastAsiaTheme="minorHAnsi" w:hAnsi="Verdana" w:cstheme="minorBidi"/>
          <w:sz w:val="20"/>
          <w:szCs w:val="20"/>
        </w:rPr>
        <w:t>-малко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спрямо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година.</w:t>
      </w:r>
    </w:p>
    <w:p w:rsidR="00E06A53" w:rsidRPr="005F6BC6" w:rsidRDefault="00E06A53" w:rsidP="000A4267">
      <w:pPr>
        <w:keepNext/>
        <w:autoSpaceDE w:val="0"/>
        <w:autoSpaceDN w:val="0"/>
        <w:adjustRightInd w:val="0"/>
        <w:spacing w:before="160"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</w:rPr>
      </w:pPr>
      <w:r w:rsidRPr="005F6BC6">
        <w:rPr>
          <w:rFonts w:ascii="Verdana" w:eastAsiaTheme="minorHAnsi" w:hAnsi="Verdana" w:cs="TimesNewRomanPS-BoldMT"/>
          <w:b/>
          <w:bCs/>
          <w:sz w:val="20"/>
          <w:szCs w:val="20"/>
        </w:rPr>
        <w:t>Фиг. 1 Структура на брутната добавена стойност в област Сливен</w:t>
      </w:r>
      <w:r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 </w:t>
      </w:r>
      <w:r w:rsidRPr="005F6BC6"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по икономически сектори през </w:t>
      </w:r>
      <w:r>
        <w:rPr>
          <w:rFonts w:ascii="Verdana" w:eastAsiaTheme="minorHAnsi" w:hAnsi="Verdana" w:cs="TimesNewRomanPS-BoldMT"/>
          <w:b/>
          <w:bCs/>
          <w:sz w:val="20"/>
          <w:szCs w:val="20"/>
        </w:rPr>
        <w:t>2023</w:t>
      </w:r>
      <w:r w:rsidRPr="005F6BC6"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 и </w:t>
      </w:r>
      <w:r>
        <w:rPr>
          <w:rFonts w:ascii="Verdana" w:eastAsiaTheme="minorHAnsi" w:hAnsi="Verdana" w:cs="TimesNewRomanPS-BoldMT"/>
          <w:b/>
          <w:bCs/>
          <w:sz w:val="20"/>
          <w:szCs w:val="20"/>
        </w:rPr>
        <w:t>2024</w:t>
      </w:r>
      <w:r w:rsidRPr="005F6BC6">
        <w:rPr>
          <w:rFonts w:ascii="Verdana" w:eastAsiaTheme="minorHAnsi" w:hAnsi="Verdana" w:cs="TimesNewRomanPS-BoldMT"/>
          <w:b/>
          <w:bCs/>
          <w:sz w:val="20"/>
          <w:szCs w:val="20"/>
        </w:rPr>
        <w:t xml:space="preserve"> година</w:t>
      </w:r>
    </w:p>
    <w:p w:rsidR="00E06A53" w:rsidRPr="005F6BC6" w:rsidRDefault="00E06A53" w:rsidP="00E06A53">
      <w:pPr>
        <w:spacing w:line="360" w:lineRule="auto"/>
        <w:contextualSpacing/>
        <w:jc w:val="center"/>
        <w:rPr>
          <w:rFonts w:ascii="Verdana" w:eastAsiaTheme="minorHAnsi" w:hAnsi="Verdana" w:cstheme="minorBidi"/>
          <w:sz w:val="20"/>
          <w:szCs w:val="20"/>
          <w:lang w:val="en-US"/>
        </w:rPr>
      </w:pPr>
      <w:r>
        <w:rPr>
          <w:noProof/>
          <w:lang w:eastAsia="bg-BG"/>
        </w:rPr>
        <w:drawing>
          <wp:inline distT="0" distB="0" distL="0" distR="0" wp14:anchorId="60B5E747" wp14:editId="3D76857B">
            <wp:extent cx="5760085" cy="3724910"/>
            <wp:effectExtent l="0" t="0" r="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6A53" w:rsidRPr="005F6BC6" w:rsidRDefault="00E06A53" w:rsidP="000A4267">
      <w:pPr>
        <w:spacing w:before="160" w:after="0" w:line="360" w:lineRule="auto"/>
        <w:ind w:firstLine="567"/>
        <w:contextualSpacing/>
        <w:jc w:val="both"/>
        <w:rPr>
          <w:rFonts w:ascii="Verdana" w:eastAsiaTheme="minorHAnsi" w:hAnsi="Verdana" w:cstheme="minorBidi"/>
          <w:sz w:val="20"/>
          <w:szCs w:val="20"/>
        </w:rPr>
      </w:pPr>
      <w:r w:rsidRPr="005F6BC6">
        <w:rPr>
          <w:rFonts w:ascii="Verdana" w:eastAsiaTheme="minorHAnsi" w:hAnsi="Verdana" w:cstheme="minorBidi"/>
          <w:sz w:val="20"/>
          <w:szCs w:val="20"/>
        </w:rPr>
        <w:t xml:space="preserve">Добавената стойност, реализирана от дейностите в </w:t>
      </w:r>
      <w:r w:rsidRPr="005F6BC6">
        <w:rPr>
          <w:rFonts w:ascii="Verdana" w:eastAsiaTheme="minorHAnsi" w:hAnsi="Verdana" w:cstheme="minorBidi"/>
          <w:b/>
          <w:sz w:val="20"/>
          <w:szCs w:val="20"/>
        </w:rPr>
        <w:t>сектор</w:t>
      </w:r>
      <w:r w:rsidRPr="005F6BC6">
        <w:rPr>
          <w:rFonts w:ascii="Verdana" w:eastAsiaTheme="minorHAnsi" w:hAnsi="Verdana" w:cstheme="minorBidi"/>
          <w:b/>
          <w:sz w:val="20"/>
          <w:szCs w:val="20"/>
          <w:lang w:val="en-US"/>
        </w:rPr>
        <w:t>a</w:t>
      </w:r>
      <w:r w:rsidRPr="005F6BC6">
        <w:rPr>
          <w:rFonts w:ascii="Verdana" w:eastAsiaTheme="minorHAnsi" w:hAnsi="Verdana" w:cstheme="minorBidi"/>
          <w:b/>
          <w:sz w:val="20"/>
          <w:szCs w:val="20"/>
        </w:rPr>
        <w:t xml:space="preserve"> на услугите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е </w:t>
      </w:r>
      <w:r>
        <w:rPr>
          <w:rFonts w:ascii="Verdana" w:eastAsiaTheme="minorHAnsi" w:hAnsi="Verdana" w:cstheme="minorBidi"/>
          <w:sz w:val="20"/>
          <w:szCs w:val="20"/>
        </w:rPr>
        <w:t>1 548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млн. </w:t>
      </w:r>
      <w:r>
        <w:rPr>
          <w:rFonts w:ascii="Verdana" w:eastAsiaTheme="minorHAnsi" w:hAnsi="Verdana" w:cstheme="minorBidi"/>
          <w:sz w:val="20"/>
          <w:szCs w:val="20"/>
        </w:rPr>
        <w:t>лв.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и представлява </w:t>
      </w:r>
      <w:r>
        <w:rPr>
          <w:rFonts w:ascii="Verdana" w:eastAsiaTheme="minorHAnsi" w:hAnsi="Verdana" w:cstheme="minorBidi"/>
          <w:sz w:val="20"/>
          <w:szCs w:val="20"/>
        </w:rPr>
        <w:t>79.8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% от общата БДС за областта. В сравнение с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  <w:lang w:val="en-US"/>
        </w:rPr>
        <w:t xml:space="preserve"> 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година делът й се увеличава с </w:t>
      </w:r>
      <w:r>
        <w:rPr>
          <w:rFonts w:ascii="Verdana" w:eastAsiaTheme="minorHAnsi" w:hAnsi="Verdana" w:cstheme="minorBidi"/>
          <w:sz w:val="20"/>
          <w:szCs w:val="20"/>
        </w:rPr>
        <w:t>10.5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процентни пункта.</w:t>
      </w:r>
    </w:p>
    <w:p w:rsidR="00E06A53" w:rsidRPr="005F6BC6" w:rsidRDefault="00E06A53" w:rsidP="00E06A53">
      <w:pPr>
        <w:spacing w:after="0" w:line="360" w:lineRule="auto"/>
        <w:ind w:firstLine="567"/>
        <w:contextualSpacing/>
        <w:jc w:val="both"/>
        <w:rPr>
          <w:rFonts w:ascii="Verdana" w:eastAsiaTheme="minorHAnsi" w:hAnsi="Verdana" w:cstheme="minorBidi"/>
          <w:sz w:val="20"/>
          <w:szCs w:val="20"/>
        </w:rPr>
      </w:pPr>
      <w:r w:rsidRPr="005F6BC6">
        <w:rPr>
          <w:rFonts w:ascii="Verdana" w:eastAsiaTheme="minorHAnsi" w:hAnsi="Verdana" w:cstheme="minorBidi"/>
          <w:b/>
          <w:sz w:val="20"/>
          <w:szCs w:val="20"/>
        </w:rPr>
        <w:t>Индустриалният сектор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намалява своя относителен дял в БДС за областта спрямо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година. През </w:t>
      </w:r>
      <w:r>
        <w:rPr>
          <w:rFonts w:ascii="Verdana" w:eastAsiaTheme="minorHAnsi" w:hAnsi="Verdana" w:cstheme="minorBidi"/>
          <w:sz w:val="20"/>
          <w:szCs w:val="20"/>
        </w:rPr>
        <w:t>2024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г. в него са реализирани </w:t>
      </w:r>
      <w:r>
        <w:rPr>
          <w:rFonts w:ascii="Verdana" w:eastAsiaTheme="minorHAnsi" w:hAnsi="Verdana" w:cstheme="minorBidi"/>
          <w:sz w:val="20"/>
          <w:szCs w:val="20"/>
        </w:rPr>
        <w:t>262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млн. </w:t>
      </w:r>
      <w:r>
        <w:rPr>
          <w:rFonts w:ascii="Verdana" w:eastAsiaTheme="minorHAnsi" w:hAnsi="Verdana" w:cstheme="minorBidi"/>
          <w:sz w:val="20"/>
          <w:szCs w:val="20"/>
        </w:rPr>
        <w:t>лева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. Относителният </w:t>
      </w:r>
      <w:r w:rsidRPr="005F6BC6">
        <w:rPr>
          <w:rFonts w:ascii="Verdana" w:eastAsiaTheme="minorHAnsi" w:hAnsi="Verdana" w:cstheme="minorBidi"/>
          <w:sz w:val="20"/>
          <w:szCs w:val="20"/>
        </w:rPr>
        <w:lastRenderedPageBreak/>
        <w:t xml:space="preserve">дял на добавената стойност в индустриалния сектор достига до </w:t>
      </w:r>
      <w:r>
        <w:rPr>
          <w:rFonts w:ascii="Verdana" w:eastAsiaTheme="minorHAnsi" w:hAnsi="Verdana" w:cstheme="minorBidi"/>
          <w:sz w:val="20"/>
          <w:szCs w:val="20"/>
        </w:rPr>
        <w:t>13.5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%, което е с </w:t>
      </w:r>
      <w:r>
        <w:rPr>
          <w:rFonts w:ascii="Verdana" w:eastAsiaTheme="minorHAnsi" w:hAnsi="Verdana" w:cstheme="minorBidi"/>
          <w:sz w:val="20"/>
          <w:szCs w:val="20"/>
        </w:rPr>
        <w:t>10.5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процентни пункта по-малко спрямо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година.</w:t>
      </w:r>
    </w:p>
    <w:p w:rsidR="00E06A53" w:rsidRPr="005F6BC6" w:rsidRDefault="00E06A53" w:rsidP="00E06A53">
      <w:pPr>
        <w:spacing w:after="0" w:line="360" w:lineRule="auto"/>
        <w:ind w:firstLine="567"/>
        <w:contextualSpacing/>
        <w:jc w:val="both"/>
        <w:rPr>
          <w:rFonts w:ascii="Verdana" w:eastAsiaTheme="minorHAnsi" w:hAnsi="Verdana" w:cstheme="minorBidi"/>
          <w:sz w:val="20"/>
          <w:szCs w:val="20"/>
        </w:rPr>
      </w:pPr>
      <w:r w:rsidRPr="005F6BC6">
        <w:rPr>
          <w:rFonts w:ascii="Verdana" w:eastAsiaTheme="minorHAnsi" w:hAnsi="Verdana" w:cstheme="minorBidi"/>
          <w:sz w:val="20"/>
          <w:szCs w:val="20"/>
        </w:rPr>
        <w:t xml:space="preserve">Относителният дял на </w:t>
      </w:r>
      <w:r w:rsidRPr="005F6BC6">
        <w:rPr>
          <w:rFonts w:ascii="Verdana" w:eastAsiaTheme="minorHAnsi" w:hAnsi="Verdana" w:cstheme="minorBidi"/>
          <w:b/>
          <w:sz w:val="20"/>
          <w:szCs w:val="20"/>
        </w:rPr>
        <w:t>аграрния сектор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представлява 6.7% от добавената стойност на областта и е в размер на </w:t>
      </w:r>
      <w:r>
        <w:rPr>
          <w:rFonts w:ascii="Verdana" w:eastAsiaTheme="minorHAnsi" w:hAnsi="Verdana" w:cstheme="minorBidi"/>
          <w:sz w:val="20"/>
          <w:szCs w:val="20"/>
        </w:rPr>
        <w:t>130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млн. </w:t>
      </w:r>
      <w:r>
        <w:rPr>
          <w:rFonts w:ascii="Verdana" w:eastAsiaTheme="minorHAnsi" w:hAnsi="Verdana" w:cstheme="minorBidi"/>
          <w:sz w:val="20"/>
          <w:szCs w:val="20"/>
        </w:rPr>
        <w:t>лева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. В сравнение с </w:t>
      </w:r>
      <w:r>
        <w:rPr>
          <w:rFonts w:ascii="Verdana" w:eastAsiaTheme="minorHAnsi" w:hAnsi="Verdana" w:cstheme="minorBidi"/>
          <w:sz w:val="20"/>
          <w:szCs w:val="20"/>
        </w:rPr>
        <w:t>2023</w:t>
      </w:r>
      <w:r w:rsidRPr="005F6BC6">
        <w:rPr>
          <w:rFonts w:ascii="Verdana" w:eastAsiaTheme="minorHAnsi" w:hAnsi="Verdana" w:cstheme="minorBidi"/>
          <w:sz w:val="20"/>
          <w:szCs w:val="20"/>
        </w:rPr>
        <w:t xml:space="preserve"> г. делът </w:t>
      </w:r>
      <w:r>
        <w:rPr>
          <w:rFonts w:ascii="Verdana" w:eastAsiaTheme="minorHAnsi" w:hAnsi="Verdana" w:cstheme="minorBidi"/>
          <w:sz w:val="20"/>
          <w:szCs w:val="20"/>
        </w:rPr>
        <w:t>му остава непроменен</w:t>
      </w:r>
      <w:r w:rsidRPr="005F6BC6">
        <w:rPr>
          <w:rFonts w:ascii="Verdana" w:eastAsiaTheme="minorHAnsi" w:hAnsi="Verdana" w:cstheme="minorBidi"/>
          <w:sz w:val="20"/>
          <w:szCs w:val="20"/>
        </w:rPr>
        <w:t>.</w:t>
      </w:r>
    </w:p>
    <w:p w:rsidR="00E06A53" w:rsidRPr="005F6BC6" w:rsidRDefault="00E06A53" w:rsidP="000A4267">
      <w:pPr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5F6BC6">
        <w:rPr>
          <w:rFonts w:ascii="Verdana" w:eastAsia="Μοντέρνα" w:hAnsi="Verdana"/>
          <w:b/>
          <w:sz w:val="20"/>
          <w:szCs w:val="20"/>
          <w:lang w:eastAsia="bg-BG"/>
        </w:rPr>
        <w:t>Методологични бележки</w:t>
      </w:r>
    </w:p>
    <w:p w:rsidR="00E06A53" w:rsidRDefault="00E06A53" w:rsidP="00E06A53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4"/>
          <w:lang w:eastAsia="x-none"/>
        </w:rPr>
      </w:pPr>
      <w:r>
        <w:rPr>
          <w:rFonts w:ascii="Verdana" w:eastAsia="Μοντέρνα" w:hAnsi="Verdana"/>
          <w:b/>
          <w:sz w:val="20"/>
          <w:szCs w:val="24"/>
          <w:lang w:eastAsia="x-none"/>
        </w:rPr>
        <w:t>Брутният вътрешен продукт (БВП)</w:t>
      </w:r>
      <w:r>
        <w:rPr>
          <w:rFonts w:ascii="Verdana" w:eastAsia="Μοντέρνα" w:hAnsi="Verdana"/>
          <w:sz w:val="20"/>
          <w:szCs w:val="24"/>
          <w:lang w:eastAsia="x-none"/>
        </w:rPr>
        <w:t xml:space="preserve"> </w:t>
      </w:r>
      <w:r>
        <w:rPr>
          <w:rFonts w:ascii="Verdana" w:eastAsia="Μοντέρνα" w:hAnsi="Verdana"/>
          <w:b/>
          <w:sz w:val="20"/>
          <w:szCs w:val="24"/>
          <w:lang w:eastAsia="x-none"/>
        </w:rPr>
        <w:t>по пазарни цени</w:t>
      </w:r>
      <w:r>
        <w:rPr>
          <w:rFonts w:ascii="Verdana" w:eastAsia="Μοντέρνα" w:hAnsi="Verdana"/>
          <w:sz w:val="20"/>
          <w:szCs w:val="24"/>
          <w:lang w:eastAsia="x-none"/>
        </w:rPr>
        <w:t xml:space="preserve"> е крайният резултат от производствената дейност на резидентните производствени единици. Той може да се дефинира по три начина:</w:t>
      </w:r>
    </w:p>
    <w:p w:rsidR="00E06A53" w:rsidRDefault="00E06A53" w:rsidP="00E06A53">
      <w:pPr>
        <w:numPr>
          <w:ilvl w:val="0"/>
          <w:numId w:val="1"/>
        </w:numPr>
        <w:spacing w:after="0" w:line="360" w:lineRule="auto"/>
        <w:ind w:left="284" w:firstLine="709"/>
        <w:jc w:val="both"/>
        <w:rPr>
          <w:rFonts w:ascii="Verdana" w:eastAsia="Μοντέρνα" w:hAnsi="Verdana"/>
          <w:sz w:val="20"/>
          <w:szCs w:val="24"/>
          <w:lang w:eastAsia="x-none"/>
        </w:rPr>
      </w:pPr>
      <w:r>
        <w:rPr>
          <w:rFonts w:ascii="Verdana" w:eastAsia="Μοντέρνα" w:hAnsi="Verdana"/>
          <w:sz w:val="20"/>
          <w:szCs w:val="24"/>
          <w:lang w:eastAsia="x-none"/>
        </w:rPr>
        <w:t>БВП е сума от брутната добавена стойност, създадена от различните институционални сектори или различните отрасли на икономиката, плюс данъците минус субсидиите върху продуктите. БВП е балансова позиция в състава на производствената сметка за националната икономика;</w:t>
      </w:r>
    </w:p>
    <w:p w:rsidR="00E06A53" w:rsidRDefault="00E06A53" w:rsidP="00E06A53">
      <w:pPr>
        <w:numPr>
          <w:ilvl w:val="0"/>
          <w:numId w:val="1"/>
        </w:numPr>
        <w:spacing w:after="0" w:line="360" w:lineRule="auto"/>
        <w:ind w:left="284" w:firstLine="709"/>
        <w:jc w:val="both"/>
        <w:rPr>
          <w:rFonts w:ascii="Verdana" w:eastAsia="Μοντέρνα" w:hAnsi="Verdana"/>
          <w:sz w:val="20"/>
          <w:szCs w:val="24"/>
          <w:lang w:eastAsia="x-none"/>
        </w:rPr>
      </w:pPr>
      <w:r>
        <w:rPr>
          <w:rFonts w:ascii="Verdana" w:eastAsia="Μοντέρνα" w:hAnsi="Verdana"/>
          <w:sz w:val="20"/>
          <w:szCs w:val="24"/>
          <w:lang w:eastAsia="x-none"/>
        </w:rPr>
        <w:t>БВП е сума от категориите крайно използване на продукти и услуги от резидентните институционални единици (фактическо крайно потребление и бруто капиталообразуване), плюс износа на стоки и услуги, минус вноса на стоки и услуги;</w:t>
      </w:r>
    </w:p>
    <w:p w:rsidR="00E06A53" w:rsidRDefault="00E06A53" w:rsidP="00E06A53">
      <w:pPr>
        <w:numPr>
          <w:ilvl w:val="0"/>
          <w:numId w:val="1"/>
        </w:numPr>
        <w:spacing w:after="0" w:line="360" w:lineRule="auto"/>
        <w:ind w:left="284" w:firstLine="709"/>
        <w:jc w:val="both"/>
        <w:rPr>
          <w:rFonts w:ascii="Verdana" w:eastAsia="Μοντέρνα" w:hAnsi="Verdana"/>
          <w:sz w:val="20"/>
          <w:szCs w:val="24"/>
          <w:lang w:eastAsia="x-none"/>
        </w:rPr>
      </w:pPr>
      <w:r>
        <w:rPr>
          <w:rFonts w:ascii="Verdana" w:eastAsia="Μοντέρνα" w:hAnsi="Verdana"/>
          <w:sz w:val="20"/>
          <w:szCs w:val="24"/>
          <w:lang w:eastAsia="x-none"/>
        </w:rPr>
        <w:t>БВП е сума от генерираните доходи в състава на сметка „Формиране на дохода” (компенсация на наетите, данъци върху производството и вноса минус субсидии, брутен опериращ излишък и смесен доход).</w:t>
      </w:r>
    </w:p>
    <w:p w:rsidR="00E06A53" w:rsidRDefault="00E06A53" w:rsidP="00E06A53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4"/>
          <w:lang w:eastAsia="x-none"/>
        </w:rPr>
      </w:pPr>
      <w:r>
        <w:rPr>
          <w:rFonts w:ascii="Verdana" w:eastAsia="Μοντέρνα" w:hAnsi="Verdana"/>
          <w:b/>
          <w:sz w:val="20"/>
          <w:szCs w:val="24"/>
          <w:lang w:eastAsia="x-none"/>
        </w:rPr>
        <w:t>Брутната добавена стойност (БДС)</w:t>
      </w:r>
      <w:r>
        <w:rPr>
          <w:rFonts w:ascii="Verdana" w:eastAsia="Μοντέρνα" w:hAnsi="Verdana"/>
          <w:sz w:val="20"/>
          <w:szCs w:val="24"/>
          <w:lang w:eastAsia="x-none"/>
        </w:rPr>
        <w:t xml:space="preserve"> по базисни цени е балансираща позиция в състава на производствената сметка, изчислявана като разлика между произведената брутна продукция по базисни цени (преди начисляването на данъци върху продуктите и услугите, включително субсидиите върху продуктите) и междинните производствени разходи по цени на купувач.</w:t>
      </w:r>
    </w:p>
    <w:p w:rsidR="00E06A53" w:rsidRPr="005F6BC6" w:rsidRDefault="000A4267" w:rsidP="00E06A53">
      <w:pPr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>
        <w:rPr>
          <w:rFonts w:ascii="Verdana" w:eastAsia="Μοντέρνα" w:hAnsi="Verdana"/>
          <w:sz w:val="20"/>
          <w:szCs w:val="24"/>
          <w:lang w:eastAsia="bg-BG"/>
        </w:rPr>
        <w:t>Повеч</w:t>
      </w:r>
      <w:bookmarkStart w:id="0" w:name="_GoBack"/>
      <w:bookmarkEnd w:id="0"/>
      <w:r>
        <w:rPr>
          <w:rFonts w:ascii="Verdana" w:eastAsia="Μοντέρνα" w:hAnsi="Verdana"/>
          <w:sz w:val="20"/>
          <w:szCs w:val="24"/>
          <w:lang w:eastAsia="bg-BG"/>
        </w:rPr>
        <w:t>е</w:t>
      </w:r>
      <w:r w:rsidR="00E06A53">
        <w:rPr>
          <w:rFonts w:ascii="Verdana" w:eastAsia="Μοντέρνα" w:hAnsi="Verdana"/>
          <w:sz w:val="20"/>
          <w:szCs w:val="24"/>
          <w:lang w:eastAsia="bg-BG"/>
        </w:rPr>
        <w:t xml:space="preserve"> информация и данни за БВП и БДС </w:t>
      </w:r>
      <w:r w:rsidR="00E06A53">
        <w:rPr>
          <w:rFonts w:ascii="Verdana" w:hAnsi="Verdana"/>
          <w:sz w:val="20"/>
          <w:szCs w:val="24"/>
          <w:lang w:eastAsia="bg-BG"/>
        </w:rPr>
        <w:t xml:space="preserve">на сайта на НСИ, </w:t>
      </w:r>
      <w:hyperlink r:id="rId8" w:history="1">
        <w:r w:rsidR="00E06A53" w:rsidRPr="000A4267">
          <w:rPr>
            <w:rFonts w:ascii="Verdana" w:hAnsi="Verdana"/>
            <w:sz w:val="20"/>
            <w:szCs w:val="20"/>
          </w:rPr>
          <w:t xml:space="preserve">раздел </w:t>
        </w:r>
        <w:r w:rsidR="00E06A53">
          <w:rPr>
            <w:rStyle w:val="Hyperlink"/>
            <w:rFonts w:ascii="Verdana" w:eastAsia="Μοντέρνα" w:hAnsi="Verdana"/>
            <w:sz w:val="20"/>
            <w:szCs w:val="24"/>
            <w:lang w:eastAsia="bg-BG"/>
          </w:rPr>
          <w:t>„Макроикономическа статистика”</w:t>
        </w:r>
      </w:hyperlink>
      <w:r w:rsidR="00E06A53">
        <w:rPr>
          <w:rFonts w:ascii="Verdana" w:eastAsia="Μοντέρνα" w:hAnsi="Verdana"/>
          <w:sz w:val="20"/>
          <w:szCs w:val="24"/>
          <w:lang w:val="en-US" w:eastAsia="bg-BG"/>
        </w:rPr>
        <w:t>.</w:t>
      </w:r>
    </w:p>
    <w:p w:rsidR="00265ACF" w:rsidRDefault="00265ACF"/>
    <w:sectPr w:rsidR="00265ACF" w:rsidSect="00FF1D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4267">
      <w:pPr>
        <w:spacing w:after="0" w:line="240" w:lineRule="auto"/>
      </w:pPr>
      <w:r>
        <w:separator/>
      </w:r>
    </w:p>
  </w:endnote>
  <w:endnote w:type="continuationSeparator" w:id="0">
    <w:p w:rsidR="00000000" w:rsidRDefault="000A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E06A53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779737" wp14:editId="3CF0E69B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E06A53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4267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7973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E06A53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A4267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CBA90C" wp14:editId="2020D195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F9DB1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614F8A7" wp14:editId="0D93F480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B5B88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>, e-</w:t>
    </w:r>
    <w:proofErr w:type="spellStart"/>
    <w:r w:rsidRPr="004C67F0">
      <w:rPr>
        <w:rFonts w:ascii="Verdana" w:hAnsi="Verdana"/>
        <w:sz w:val="16"/>
        <w:szCs w:val="16"/>
      </w:rPr>
      <w:t>mail</w:t>
    </w:r>
    <w:proofErr w:type="spellEnd"/>
    <w:r w:rsidRPr="004C67F0">
      <w:rPr>
        <w:rFonts w:ascii="Verdana" w:hAnsi="Verdana"/>
        <w:sz w:val="16"/>
        <w:szCs w:val="16"/>
      </w:rPr>
      <w:t xml:space="preserve">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E06A53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</w:t>
    </w:r>
    <w:proofErr w:type="spellStart"/>
    <w:r w:rsidRPr="00EF2933">
      <w:rPr>
        <w:rFonts w:ascii="Verdana" w:eastAsiaTheme="minorHAnsi" w:hAnsi="Verdana" w:cstheme="minorBidi"/>
        <w:sz w:val="16"/>
        <w:szCs w:val="16"/>
      </w:rPr>
      <w:t>mail</w:t>
    </w:r>
    <w:proofErr w:type="spellEnd"/>
    <w:r w:rsidRPr="00EF2933">
      <w:rPr>
        <w:rFonts w:ascii="Verdana" w:eastAsiaTheme="minorHAnsi" w:hAnsi="Verdana" w:cstheme="minorBidi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E06A53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1357720" wp14:editId="1B27D5C0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F7940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FF965" wp14:editId="4B4F7EF1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E06A53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4267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3FF96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E06A53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A4267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0A4267" w:rsidP="00D83F28">
    <w:pPr>
      <w:pStyle w:val="Footer"/>
      <w:tabs>
        <w:tab w:val="clear" w:pos="4536"/>
        <w:tab w:val="clear" w:pos="9072"/>
      </w:tabs>
    </w:pPr>
  </w:p>
  <w:p w:rsidR="00D83F28" w:rsidRDefault="000A4267" w:rsidP="00D83F28">
    <w:pPr>
      <w:pStyle w:val="Footer"/>
      <w:tabs>
        <w:tab w:val="clear" w:pos="4536"/>
        <w:tab w:val="clear" w:pos="9072"/>
      </w:tabs>
    </w:pPr>
  </w:p>
  <w:p w:rsidR="00FF1DB5" w:rsidRDefault="000A4267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4267">
      <w:pPr>
        <w:spacing w:after="0" w:line="240" w:lineRule="auto"/>
      </w:pPr>
      <w:r>
        <w:separator/>
      </w:r>
    </w:p>
  </w:footnote>
  <w:footnote w:type="continuationSeparator" w:id="0">
    <w:p w:rsidR="00000000" w:rsidRDefault="000A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C" w:rsidRPr="005F6BC6" w:rsidRDefault="00E06A53" w:rsidP="00F77B4C">
    <w:pPr>
      <w:spacing w:line="360" w:lineRule="auto"/>
      <w:contextualSpacing/>
      <w:jc w:val="center"/>
      <w:rPr>
        <w:rFonts w:ascii="Verdana" w:eastAsiaTheme="minorHAnsi" w:hAnsi="Verdana" w:cstheme="minorBidi"/>
        <w:b/>
        <w:sz w:val="20"/>
        <w:szCs w:val="20"/>
      </w:rPr>
    </w:pPr>
    <w:r w:rsidRPr="005F6BC6">
      <w:rPr>
        <w:rFonts w:ascii="Verdana" w:eastAsiaTheme="minorHAnsi" w:hAnsi="Verdana" w:cstheme="minorBidi"/>
        <w:b/>
        <w:sz w:val="20"/>
        <w:szCs w:val="20"/>
      </w:rPr>
      <w:t xml:space="preserve">БРУТЕН ВЪТРЕШЕН ПРОДУКТ И БРУТНА ДОБАВЕНА СТОЙНОСТ ПО ИКОНОМИЧЕСКИ СЕКТОРИ В ОБЛАСТ СЛИВЕН ПРЕЗ </w:t>
    </w:r>
    <w:r>
      <w:rPr>
        <w:rFonts w:ascii="Verdana" w:eastAsiaTheme="minorHAnsi" w:hAnsi="Verdana" w:cstheme="minorBidi"/>
        <w:b/>
        <w:sz w:val="20"/>
        <w:szCs w:val="20"/>
      </w:rPr>
      <w:t>2024</w:t>
    </w:r>
    <w:r w:rsidRPr="005F6BC6">
      <w:rPr>
        <w:rFonts w:ascii="Verdana" w:eastAsiaTheme="minorHAnsi" w:hAnsi="Verdana" w:cstheme="minorBidi"/>
        <w:b/>
        <w:sz w:val="20"/>
        <w:szCs w:val="20"/>
      </w:rPr>
      <w:t xml:space="preserve"> ГОДИНА</w:t>
    </w:r>
  </w:p>
  <w:p w:rsidR="00D83F28" w:rsidRPr="00171DE8" w:rsidRDefault="00E06A53" w:rsidP="00171DE8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A27BA7D" wp14:editId="612A4A77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6DFA6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E06A53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00179BD2" wp14:editId="24C183CC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E9E34B" wp14:editId="5DC18A3A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E06A53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E06A53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0A4267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E34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E06A53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E06A53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E06A53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E0AA53" wp14:editId="19F30CD1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917B2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3F7F86" wp14:editId="4B0C0A1A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E8667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27EC59CB" wp14:editId="313D8C20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6F30"/>
    <w:multiLevelType w:val="hybridMultilevel"/>
    <w:tmpl w:val="9342AF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53"/>
    <w:rsid w:val="000A4267"/>
    <w:rsid w:val="00265ACF"/>
    <w:rsid w:val="00B40BF8"/>
    <w:rsid w:val="00C56083"/>
    <w:rsid w:val="00E06A53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BF48C4-56AF-4767-8C58-6EF8D191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5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6A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6A53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E06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6A5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6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/bg/content/779/%D0%BC%D0%B0%D0%BA%D1%80%D0%BE%D0%B8%D0%BA%D0%BE%D0%BD%D0%BE%D0%BC%D0%B8%D1%87%D0%B5%D1%81%D0%BA%D0%B0-%D1%81%D1%82%D0%B0%D1%82%D0%B8%D1%81%D1%82%D0%B8%D0%BA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PRESS\Press_2026\RBVP_POM_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553149606299214E-2"/>
          <c:y val="0.10782380013149244"/>
          <c:w val="0.83389129483814528"/>
          <c:h val="0.75313816542163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'2024 граф'!$A$3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 rot="0" vert="horz"/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'2024 граф'!$B$1:$D$1</c:f>
              <c:strCache>
                <c:ptCount val="3"/>
                <c:pt idx="0">
                  <c:v>Аграрен</c:v>
                </c:pt>
                <c:pt idx="1">
                  <c:v>Индустрия</c:v>
                </c:pt>
                <c:pt idx="2">
                  <c:v>Услуги</c:v>
                </c:pt>
              </c:strCache>
            </c:strRef>
          </c:cat>
          <c:val>
            <c:numRef>
              <c:f>'2024 граф'!$B$3:$D$3</c:f>
              <c:numCache>
                <c:formatCode>#\ ##0.0</c:formatCode>
                <c:ptCount val="3"/>
                <c:pt idx="0">
                  <c:v>6.7271677843955349</c:v>
                </c:pt>
                <c:pt idx="1">
                  <c:v>23.960457559968017</c:v>
                </c:pt>
                <c:pt idx="2">
                  <c:v>69.312374655636447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10-4F40-9E6B-C8E67F3A184E}"/>
            </c:ext>
          </c:extLst>
        </c:ser>
        <c:ser>
          <c:idx val="1"/>
          <c:order val="1"/>
          <c:tx>
            <c:strRef>
              <c:f>'2024 граф'!$A$2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Lbls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'2024 граф'!$B$1:$D$1</c:f>
              <c:strCache>
                <c:ptCount val="3"/>
                <c:pt idx="0">
                  <c:v>Аграрен</c:v>
                </c:pt>
                <c:pt idx="1">
                  <c:v>Индустрия</c:v>
                </c:pt>
                <c:pt idx="2">
                  <c:v>Услуги</c:v>
                </c:pt>
              </c:strCache>
            </c:strRef>
          </c:cat>
          <c:val>
            <c:numRef>
              <c:f>'2024 граф'!$B$2:$D$2</c:f>
              <c:numCache>
                <c:formatCode>#\ ##0.0</c:formatCode>
                <c:ptCount val="3"/>
                <c:pt idx="0">
                  <c:v>6.7086493202522055</c:v>
                </c:pt>
                <c:pt idx="1">
                  <c:v>13.49607411493589</c:v>
                </c:pt>
                <c:pt idx="2">
                  <c:v>79.795328119441749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10-4F40-9E6B-C8E67F3A1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9771328"/>
        <c:axId val="1"/>
      </c:barChart>
      <c:catAx>
        <c:axId val="102977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0297713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538925491456425"/>
          <c:y val="0.91682388813824311"/>
          <c:w val="0.26670469762708238"/>
          <c:h val="6.7397019159587318E-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0.04677</cdr:x>
      <cdr:y>0.05294</cdr:y>
    </cdr:from>
    <cdr:to>
      <cdr:x>0.1051</cdr:x>
      <cdr:y>0.09738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9275" y="269261"/>
          <a:ext cx="435585" cy="2260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%</a:t>
          </a:r>
          <a:endParaRPr lang="bg-BG" sz="800">
            <a:latin typeface="Verdana" panose="020B0604030504040204" pitchFamily="34" charset="0"/>
            <a:ea typeface="Verdana" panose="020B060403050404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2</cp:revision>
  <dcterms:created xsi:type="dcterms:W3CDTF">2026-02-12T08:20:00Z</dcterms:created>
  <dcterms:modified xsi:type="dcterms:W3CDTF">2026-02-13T07:53:00Z</dcterms:modified>
</cp:coreProperties>
</file>