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0C" w:rsidRPr="005F6BC6" w:rsidRDefault="00152B0C" w:rsidP="00152B0C">
      <w:pPr>
        <w:spacing w:before="720"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5F6BC6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5BA61" wp14:editId="6B9BF6B9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B0C" w:rsidRPr="004F6479" w:rsidRDefault="00152B0C" w:rsidP="00152B0C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152B0C" w:rsidRPr="004F6479" w:rsidRDefault="00152B0C" w:rsidP="00152B0C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B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152B0C" w:rsidRPr="004F6479" w:rsidRDefault="00152B0C" w:rsidP="00152B0C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152B0C" w:rsidRPr="004F6479" w:rsidRDefault="00152B0C" w:rsidP="00152B0C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2B0C" w:rsidRPr="005F6BC6" w:rsidRDefault="00152B0C" w:rsidP="00152B0C">
      <w:pPr>
        <w:spacing w:line="360" w:lineRule="auto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52B0C">
        <w:rPr>
          <w:rFonts w:ascii="Verdana" w:eastAsiaTheme="minorHAnsi" w:hAnsi="Verdana" w:cstheme="minorBidi"/>
          <w:b/>
          <w:sz w:val="20"/>
          <w:szCs w:val="20"/>
        </w:rPr>
        <w:t xml:space="preserve">ПРОДАЖБИ НА ЕДРО И ДРЕБНО И ТЪРГОВСКИ ОБЕКТИ ЗА ПРОДАЖБИ НА ДРЕБНО В ОБЛАСТ </w:t>
      </w:r>
      <w:r>
        <w:rPr>
          <w:rFonts w:ascii="Verdana" w:eastAsiaTheme="minorHAnsi" w:hAnsi="Verdana" w:cstheme="minorBidi"/>
          <w:b/>
          <w:sz w:val="20"/>
          <w:szCs w:val="20"/>
        </w:rPr>
        <w:t>СЛИВЕН</w:t>
      </w:r>
      <w:r w:rsidRPr="00152B0C">
        <w:rPr>
          <w:rFonts w:ascii="Verdana" w:eastAsiaTheme="minorHAnsi" w:hAnsi="Verdana" w:cstheme="minorBidi"/>
          <w:b/>
          <w:sz w:val="20"/>
          <w:szCs w:val="20"/>
        </w:rPr>
        <w:t xml:space="preserve"> ПРЕЗ 2024 ГОДИНА</w:t>
      </w:r>
    </w:p>
    <w:p w:rsidR="006D3802" w:rsidRDefault="00152B0C" w:rsidP="00190091">
      <w:pPr>
        <w:autoSpaceDE w:val="0"/>
        <w:autoSpaceDN w:val="0"/>
        <w:adjustRightInd w:val="0"/>
        <w:spacing w:before="160" w:after="0" w:line="360" w:lineRule="auto"/>
        <w:ind w:firstLine="567"/>
        <w:jc w:val="both"/>
        <w:rPr>
          <w:rFonts w:ascii="Verdana" w:eastAsiaTheme="minorHAnsi" w:hAnsi="Verdana" w:cstheme="minorBidi"/>
          <w:sz w:val="20"/>
          <w:szCs w:val="20"/>
        </w:rPr>
      </w:pPr>
      <w:r w:rsidRPr="00152B0C">
        <w:rPr>
          <w:rFonts w:ascii="Verdana" w:eastAsiaTheme="minorHAnsi" w:hAnsi="Verdana" w:cstheme="minorBidi"/>
          <w:sz w:val="20"/>
          <w:szCs w:val="20"/>
        </w:rPr>
        <w:t xml:space="preserve">По окончателни данни на Националния статистически институт за 2024 г. нефинансовите предприятия в област </w:t>
      </w:r>
      <w:r>
        <w:rPr>
          <w:rFonts w:ascii="Verdana" w:eastAsiaTheme="minorHAnsi" w:hAnsi="Verdana" w:cstheme="minorBidi"/>
          <w:sz w:val="20"/>
          <w:szCs w:val="20"/>
        </w:rPr>
        <w:t>Сливен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 са реализирали продажби на едро (вкл. ДДС и акцизи) на стойност </w:t>
      </w:r>
      <w:r w:rsidR="00637477">
        <w:rPr>
          <w:rFonts w:ascii="Verdana" w:eastAsiaTheme="minorHAnsi" w:hAnsi="Verdana" w:cstheme="minorBidi"/>
          <w:sz w:val="20"/>
          <w:szCs w:val="20"/>
        </w:rPr>
        <w:t>1 460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 млн. лв., от които </w:t>
      </w:r>
      <w:r w:rsidR="007957BF">
        <w:rPr>
          <w:rFonts w:ascii="Verdana" w:eastAsiaTheme="minorHAnsi" w:hAnsi="Verdana" w:cstheme="minorBidi"/>
          <w:sz w:val="20"/>
          <w:szCs w:val="20"/>
          <w:lang w:val="en-US"/>
        </w:rPr>
        <w:t>64.9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 - нехранителни стоки и </w:t>
      </w:r>
      <w:r w:rsidR="007957BF">
        <w:rPr>
          <w:rFonts w:ascii="Verdana" w:eastAsiaTheme="minorHAnsi" w:hAnsi="Verdana" w:cstheme="minorBidi"/>
          <w:sz w:val="20"/>
          <w:szCs w:val="20"/>
          <w:lang w:val="en-US"/>
        </w:rPr>
        <w:t>35.1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 са от храни, напитки и тютюневи изделия. В сравнение с предходната година обемът на продажбите на едро намалява с </w:t>
      </w:r>
      <w:r w:rsidR="00637477">
        <w:rPr>
          <w:rFonts w:ascii="Verdana" w:eastAsiaTheme="minorHAnsi" w:hAnsi="Verdana" w:cstheme="minorBidi"/>
          <w:sz w:val="20"/>
          <w:szCs w:val="20"/>
          <w:lang w:val="en-US"/>
        </w:rPr>
        <w:t>11.4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%, като е отчетен ръст на продажбите на едро на храни, напитки и тютюневи изделия с </w:t>
      </w:r>
      <w:r w:rsidR="00637477">
        <w:rPr>
          <w:rFonts w:ascii="Verdana" w:eastAsiaTheme="minorHAnsi" w:hAnsi="Verdana" w:cstheme="minorBidi"/>
          <w:sz w:val="20"/>
          <w:szCs w:val="20"/>
          <w:lang w:val="en-US"/>
        </w:rPr>
        <w:t>1.2</w:t>
      </w:r>
      <w:r w:rsidRPr="00152B0C">
        <w:rPr>
          <w:rFonts w:ascii="Verdana" w:eastAsiaTheme="minorHAnsi" w:hAnsi="Verdana" w:cstheme="minorBidi"/>
          <w:sz w:val="20"/>
          <w:szCs w:val="20"/>
        </w:rPr>
        <w:t>%, а на продажбите на не</w:t>
      </w:r>
      <w:r w:rsidR="006D3802">
        <w:rPr>
          <w:rFonts w:ascii="Verdana" w:eastAsiaTheme="minorHAnsi" w:hAnsi="Verdana" w:cstheme="minorBidi"/>
          <w:sz w:val="20"/>
          <w:szCs w:val="20"/>
        </w:rPr>
        <w:t>хранителни стоки – спад с</w:t>
      </w:r>
      <w:r w:rsidR="00637477">
        <w:rPr>
          <w:rFonts w:ascii="Verdana" w:eastAsiaTheme="minorHAnsi" w:hAnsi="Verdana" w:cstheme="minorBidi"/>
          <w:sz w:val="20"/>
          <w:szCs w:val="20"/>
        </w:rPr>
        <w:t>ъс</w:t>
      </w:r>
      <w:r w:rsidR="006D3802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637477">
        <w:rPr>
          <w:rFonts w:ascii="Verdana" w:eastAsiaTheme="minorHAnsi" w:hAnsi="Verdana" w:cstheme="minorBidi"/>
          <w:sz w:val="20"/>
          <w:szCs w:val="20"/>
        </w:rPr>
        <w:t>17.0</w:t>
      </w:r>
      <w:r w:rsidR="006D3802">
        <w:rPr>
          <w:rFonts w:ascii="Verdana" w:eastAsiaTheme="minorHAnsi" w:hAnsi="Verdana" w:cstheme="minorBidi"/>
          <w:sz w:val="20"/>
          <w:szCs w:val="20"/>
        </w:rPr>
        <w:t>%.</w:t>
      </w:r>
    </w:p>
    <w:p w:rsidR="00152B0C" w:rsidRDefault="00152B0C" w:rsidP="001900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Theme="minorHAnsi" w:hAnsi="Verdana" w:cstheme="minorBidi"/>
          <w:sz w:val="20"/>
          <w:szCs w:val="20"/>
        </w:rPr>
      </w:pPr>
      <w:r w:rsidRPr="00152B0C">
        <w:rPr>
          <w:rFonts w:ascii="Verdana" w:eastAsiaTheme="minorHAnsi" w:hAnsi="Verdana" w:cstheme="minorBidi"/>
          <w:sz w:val="20"/>
          <w:szCs w:val="20"/>
        </w:rPr>
        <w:t xml:space="preserve">Продажбите на дребно (вкл. ДДС и акцизи) за 2024 г. са на стойност </w:t>
      </w:r>
      <w:r w:rsidR="00637477">
        <w:rPr>
          <w:rFonts w:ascii="Verdana" w:eastAsiaTheme="minorHAnsi" w:hAnsi="Verdana" w:cstheme="minorBidi"/>
          <w:sz w:val="20"/>
          <w:szCs w:val="20"/>
        </w:rPr>
        <w:t>842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 млн. лв., като продажбите на дребно на храни, напитки и тютюневи изделия са с дял </w:t>
      </w:r>
      <w:r w:rsidR="00637477">
        <w:rPr>
          <w:rFonts w:ascii="Verdana" w:eastAsiaTheme="minorHAnsi" w:hAnsi="Verdana" w:cstheme="minorBidi"/>
          <w:sz w:val="20"/>
          <w:szCs w:val="20"/>
        </w:rPr>
        <w:t>41.2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%, а нехранителните стоки са с дял от </w:t>
      </w:r>
      <w:r w:rsidR="00637477">
        <w:rPr>
          <w:rFonts w:ascii="Verdana" w:eastAsiaTheme="minorHAnsi" w:hAnsi="Verdana" w:cstheme="minorBidi"/>
          <w:sz w:val="20"/>
          <w:szCs w:val="20"/>
        </w:rPr>
        <w:t>58.8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%. В сравнение с 2023 г. обемът на продажбите на дребно нараства с </w:t>
      </w:r>
      <w:r w:rsidR="00637477">
        <w:rPr>
          <w:rFonts w:ascii="Verdana" w:eastAsiaTheme="minorHAnsi" w:hAnsi="Verdana" w:cstheme="minorBidi"/>
          <w:sz w:val="20"/>
          <w:szCs w:val="20"/>
        </w:rPr>
        <w:t>8.8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%, като е отчетен ръст както на продажбите на дребно на храни, напитки и тютюневи изделия, така и на продажбите на дребно на нехранителни стоки съответно с </w:t>
      </w:r>
      <w:r w:rsidR="00637477">
        <w:rPr>
          <w:rFonts w:ascii="Verdana" w:eastAsiaTheme="minorHAnsi" w:hAnsi="Verdana" w:cstheme="minorBidi"/>
          <w:sz w:val="20"/>
          <w:szCs w:val="20"/>
        </w:rPr>
        <w:t>5.</w:t>
      </w:r>
      <w:r w:rsidR="00090A77">
        <w:rPr>
          <w:rFonts w:ascii="Verdana" w:eastAsiaTheme="minorHAnsi" w:hAnsi="Verdana" w:cstheme="minorBidi"/>
          <w:sz w:val="20"/>
          <w:szCs w:val="20"/>
          <w:lang w:val="en-US"/>
        </w:rPr>
        <w:t>5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 и </w:t>
      </w:r>
      <w:r w:rsidR="00637477">
        <w:rPr>
          <w:rFonts w:ascii="Verdana" w:eastAsiaTheme="minorHAnsi" w:hAnsi="Verdana" w:cstheme="minorBidi"/>
          <w:sz w:val="20"/>
          <w:szCs w:val="20"/>
        </w:rPr>
        <w:t>11.2</w:t>
      </w:r>
      <w:r w:rsidRPr="00152B0C">
        <w:rPr>
          <w:rFonts w:ascii="Verdana" w:eastAsiaTheme="minorHAnsi" w:hAnsi="Verdana" w:cstheme="minorBidi"/>
          <w:sz w:val="20"/>
          <w:szCs w:val="20"/>
        </w:rPr>
        <w:t>%.</w:t>
      </w:r>
    </w:p>
    <w:p w:rsidR="00152B0C" w:rsidRPr="005F6BC6" w:rsidRDefault="00152B0C" w:rsidP="00152B0C">
      <w:pPr>
        <w:keepNext/>
        <w:autoSpaceDE w:val="0"/>
        <w:autoSpaceDN w:val="0"/>
        <w:adjustRightInd w:val="0"/>
        <w:spacing w:before="160"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</w:rPr>
      </w:pPr>
      <w:r w:rsidRPr="00152B0C">
        <w:rPr>
          <w:rFonts w:ascii="Verdana" w:eastAsiaTheme="minorHAnsi" w:hAnsi="Verdana" w:cs="TimesNewRomanPS-BoldMT"/>
          <w:b/>
          <w:bCs/>
          <w:sz w:val="20"/>
          <w:szCs w:val="20"/>
        </w:rPr>
        <w:t xml:space="preserve">Фиг. 1. Структура на продажбите в област </w:t>
      </w:r>
      <w:r>
        <w:rPr>
          <w:rFonts w:ascii="Verdana" w:eastAsiaTheme="minorHAnsi" w:hAnsi="Verdana" w:cs="TimesNewRomanPS-BoldMT"/>
          <w:b/>
          <w:bCs/>
          <w:sz w:val="20"/>
          <w:szCs w:val="20"/>
        </w:rPr>
        <w:t>Сливен</w:t>
      </w:r>
      <w:r w:rsidRPr="00152B0C">
        <w:rPr>
          <w:rFonts w:ascii="Verdana" w:eastAsiaTheme="minorHAnsi" w:hAnsi="Verdana" w:cs="TimesNewRomanPS-BoldMT"/>
          <w:b/>
          <w:bCs/>
          <w:sz w:val="20"/>
          <w:szCs w:val="20"/>
        </w:rPr>
        <w:t xml:space="preserve"> по видове</w:t>
      </w:r>
    </w:p>
    <w:p w:rsidR="00152B0C" w:rsidRPr="005F6BC6" w:rsidRDefault="005B329F" w:rsidP="00152B0C">
      <w:pPr>
        <w:spacing w:line="360" w:lineRule="auto"/>
        <w:contextualSpacing/>
        <w:jc w:val="center"/>
        <w:rPr>
          <w:rFonts w:ascii="Verdana" w:eastAsiaTheme="minorHAnsi" w:hAnsi="Verdana" w:cstheme="minorBidi"/>
          <w:sz w:val="20"/>
          <w:szCs w:val="20"/>
          <w:lang w:val="en-US"/>
        </w:rPr>
      </w:pPr>
      <w:r>
        <w:rPr>
          <w:noProof/>
          <w:lang w:eastAsia="bg-BG"/>
        </w:rPr>
        <w:drawing>
          <wp:inline distT="0" distB="0" distL="0" distR="0" wp14:anchorId="0DBBC11C" wp14:editId="58CC595A">
            <wp:extent cx="5353050" cy="38195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3802" w:rsidRPr="006D3802" w:rsidRDefault="006D3802" w:rsidP="00152B0C">
      <w:pPr>
        <w:spacing w:before="160" w:line="360" w:lineRule="auto"/>
        <w:ind w:firstLine="567"/>
        <w:jc w:val="both"/>
        <w:rPr>
          <w:rFonts w:ascii="Verdana" w:eastAsiaTheme="minorHAnsi" w:hAnsi="Verdana" w:cstheme="minorBidi"/>
          <w:b/>
          <w:sz w:val="20"/>
          <w:szCs w:val="20"/>
        </w:rPr>
      </w:pPr>
      <w:r w:rsidRPr="006D3802">
        <w:rPr>
          <w:rFonts w:ascii="Verdana" w:eastAsiaTheme="minorHAnsi" w:hAnsi="Verdana" w:cstheme="minorBidi"/>
          <w:b/>
          <w:sz w:val="20"/>
          <w:szCs w:val="20"/>
        </w:rPr>
        <w:lastRenderedPageBreak/>
        <w:t>Търговски обекти за продажби на дребно</w:t>
      </w:r>
    </w:p>
    <w:p w:rsidR="00152B0C" w:rsidRDefault="00152B0C" w:rsidP="00190091">
      <w:pPr>
        <w:spacing w:after="0" w:line="360" w:lineRule="auto"/>
        <w:ind w:firstLine="567"/>
        <w:jc w:val="both"/>
        <w:rPr>
          <w:rFonts w:ascii="Verdana" w:eastAsiaTheme="minorHAnsi" w:hAnsi="Verdana" w:cstheme="minorBidi"/>
          <w:sz w:val="20"/>
          <w:szCs w:val="20"/>
        </w:rPr>
      </w:pPr>
      <w:r w:rsidRPr="00152B0C">
        <w:rPr>
          <w:rFonts w:ascii="Verdana" w:eastAsiaTheme="minorHAnsi" w:hAnsi="Verdana" w:cstheme="minorBidi"/>
          <w:sz w:val="20"/>
          <w:szCs w:val="20"/>
        </w:rPr>
        <w:t xml:space="preserve">През 2024 г. в област </w:t>
      </w:r>
      <w:r>
        <w:rPr>
          <w:rFonts w:ascii="Verdana" w:eastAsiaTheme="minorHAnsi" w:hAnsi="Verdana" w:cstheme="minorBidi"/>
          <w:sz w:val="20"/>
          <w:szCs w:val="20"/>
        </w:rPr>
        <w:t>Сливен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 са работили </w:t>
      </w:r>
      <w:r w:rsidR="00AD1BE5">
        <w:rPr>
          <w:rFonts w:ascii="Verdana" w:eastAsiaTheme="minorHAnsi" w:hAnsi="Verdana" w:cstheme="minorBidi"/>
          <w:sz w:val="20"/>
          <w:szCs w:val="20"/>
          <w:lang w:val="en-US"/>
        </w:rPr>
        <w:t>3</w:t>
      </w:r>
      <w:r w:rsidR="00AD1BE5">
        <w:rPr>
          <w:rFonts w:ascii="Verdana" w:eastAsiaTheme="minorHAnsi" w:hAnsi="Verdana" w:cstheme="minorBidi"/>
          <w:sz w:val="20"/>
          <w:szCs w:val="20"/>
        </w:rPr>
        <w:t> </w:t>
      </w:r>
      <w:r w:rsidR="00AD1BE5">
        <w:rPr>
          <w:rFonts w:ascii="Verdana" w:eastAsiaTheme="minorHAnsi" w:hAnsi="Verdana" w:cstheme="minorBidi"/>
          <w:sz w:val="20"/>
          <w:szCs w:val="20"/>
          <w:lang w:val="en-US"/>
        </w:rPr>
        <w:t>144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 търговски обекта за продажби на дребно. С най-голям относителен дял са магазините и павилионите - </w:t>
      </w:r>
      <w:r w:rsidR="00CD3F7C">
        <w:rPr>
          <w:rFonts w:ascii="Verdana" w:eastAsiaTheme="minorHAnsi" w:hAnsi="Verdana" w:cstheme="minorBidi"/>
          <w:sz w:val="20"/>
          <w:szCs w:val="20"/>
          <w:lang w:val="en-US"/>
        </w:rPr>
        <w:t>71.7</w:t>
      </w:r>
      <w:r w:rsidRPr="00152B0C">
        <w:rPr>
          <w:rFonts w:ascii="Verdana" w:eastAsiaTheme="minorHAnsi" w:hAnsi="Verdana" w:cstheme="minorBidi"/>
          <w:sz w:val="20"/>
          <w:szCs w:val="20"/>
        </w:rPr>
        <w:t>%, следват подвижни обекти за разносна и развозна търговия (вкл. автомати) - 1</w:t>
      </w:r>
      <w:r w:rsidR="00CD3F7C">
        <w:rPr>
          <w:rFonts w:ascii="Verdana" w:eastAsiaTheme="minorHAnsi" w:hAnsi="Verdana" w:cstheme="minorBidi"/>
          <w:sz w:val="20"/>
          <w:szCs w:val="20"/>
          <w:lang w:val="en-US"/>
        </w:rPr>
        <w:t>7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.3%, складове за продажба на дребно - </w:t>
      </w:r>
      <w:r w:rsidR="00CD3F7C">
        <w:rPr>
          <w:rFonts w:ascii="Verdana" w:eastAsiaTheme="minorHAnsi" w:hAnsi="Verdana" w:cstheme="minorBidi"/>
          <w:sz w:val="20"/>
          <w:szCs w:val="20"/>
          <w:lang w:val="en-US"/>
        </w:rPr>
        <w:t>6.2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%, будки и сергии в стационарната търговска мрежа - </w:t>
      </w:r>
      <w:r w:rsidR="00CD3F7C">
        <w:rPr>
          <w:rFonts w:ascii="Verdana" w:eastAsiaTheme="minorHAnsi" w:hAnsi="Verdana" w:cstheme="minorBidi"/>
          <w:sz w:val="20"/>
          <w:szCs w:val="20"/>
          <w:lang w:val="en-US"/>
        </w:rPr>
        <w:t>3.0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%, бензиностанции и газостанции – </w:t>
      </w:r>
      <w:r w:rsidR="00CD3F7C">
        <w:rPr>
          <w:rFonts w:ascii="Verdana" w:eastAsiaTheme="minorHAnsi" w:hAnsi="Verdana" w:cstheme="minorBidi"/>
          <w:sz w:val="20"/>
          <w:szCs w:val="20"/>
          <w:lang w:val="en-US"/>
        </w:rPr>
        <w:t>1.8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%. Магазините и павилионите </w:t>
      </w:r>
      <w:r w:rsidR="00637477">
        <w:rPr>
          <w:rFonts w:ascii="Verdana" w:eastAsiaTheme="minorHAnsi" w:hAnsi="Verdana" w:cstheme="minorBidi"/>
          <w:sz w:val="20"/>
          <w:szCs w:val="20"/>
        </w:rPr>
        <w:t>се увеличават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 с </w:t>
      </w:r>
      <w:r w:rsidR="00637477">
        <w:rPr>
          <w:rFonts w:ascii="Verdana" w:eastAsiaTheme="minorHAnsi" w:hAnsi="Verdana" w:cstheme="minorBidi"/>
          <w:sz w:val="20"/>
          <w:szCs w:val="20"/>
        </w:rPr>
        <w:t>0.1</w:t>
      </w:r>
      <w:r w:rsidRPr="00152B0C">
        <w:rPr>
          <w:rFonts w:ascii="Verdana" w:eastAsiaTheme="minorHAnsi" w:hAnsi="Verdana" w:cstheme="minorBidi"/>
          <w:sz w:val="20"/>
          <w:szCs w:val="20"/>
        </w:rPr>
        <w:t xml:space="preserve">% спрямо предходната година, като е отчетен спад при магазините и павилионите за храни, напитки и тютюневи изделия с </w:t>
      </w:r>
      <w:r w:rsidR="001F1189">
        <w:rPr>
          <w:rFonts w:ascii="Verdana" w:eastAsiaTheme="minorHAnsi" w:hAnsi="Verdana" w:cstheme="minorBidi"/>
          <w:sz w:val="20"/>
          <w:szCs w:val="20"/>
        </w:rPr>
        <w:t>1.9</w:t>
      </w:r>
      <w:r w:rsidRPr="00152B0C">
        <w:rPr>
          <w:rFonts w:ascii="Verdana" w:eastAsiaTheme="minorHAnsi" w:hAnsi="Verdana" w:cstheme="minorBidi"/>
          <w:sz w:val="20"/>
          <w:szCs w:val="20"/>
        </w:rPr>
        <w:t>% и ръст при тез</w:t>
      </w:r>
      <w:r w:rsidR="00AD1BE5">
        <w:rPr>
          <w:rFonts w:ascii="Verdana" w:eastAsiaTheme="minorHAnsi" w:hAnsi="Verdana" w:cstheme="minorBidi"/>
          <w:sz w:val="20"/>
          <w:szCs w:val="20"/>
        </w:rPr>
        <w:t xml:space="preserve">и за нехранителни стоки с </w:t>
      </w:r>
      <w:r w:rsidR="001F1189">
        <w:rPr>
          <w:rFonts w:ascii="Verdana" w:eastAsiaTheme="minorHAnsi" w:hAnsi="Verdana" w:cstheme="minorBidi"/>
          <w:sz w:val="20"/>
          <w:szCs w:val="20"/>
        </w:rPr>
        <w:t>1.5</w:t>
      </w:r>
      <w:r w:rsidR="00AD1BE5">
        <w:rPr>
          <w:rFonts w:ascii="Verdana" w:eastAsiaTheme="minorHAnsi" w:hAnsi="Verdana" w:cstheme="minorBidi"/>
          <w:sz w:val="20"/>
          <w:szCs w:val="20"/>
        </w:rPr>
        <w:t>%.</w:t>
      </w:r>
    </w:p>
    <w:p w:rsidR="00152B0C" w:rsidRPr="005F6BC6" w:rsidRDefault="00152B0C" w:rsidP="00152B0C">
      <w:pPr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5F6BC6">
        <w:rPr>
          <w:rFonts w:ascii="Verdana" w:eastAsia="Μοντέρνα" w:hAnsi="Verdana"/>
          <w:b/>
          <w:sz w:val="20"/>
          <w:szCs w:val="20"/>
          <w:lang w:eastAsia="bg-BG"/>
        </w:rPr>
        <w:t>Методологични бележки</w:t>
      </w:r>
    </w:p>
    <w:p w:rsidR="006D3802" w:rsidRDefault="006D3802" w:rsidP="006D3802">
      <w:pPr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4"/>
          <w:lang w:eastAsia="x-none"/>
        </w:rPr>
      </w:pPr>
      <w:r w:rsidRPr="006D3802">
        <w:rPr>
          <w:rFonts w:ascii="Verdana" w:eastAsia="Μοντέρνα" w:hAnsi="Verdana"/>
          <w:b/>
          <w:sz w:val="20"/>
          <w:szCs w:val="24"/>
          <w:lang w:eastAsia="x-none"/>
        </w:rPr>
        <w:t>Обхват и източници на инфо</w:t>
      </w:r>
      <w:bookmarkStart w:id="0" w:name="_GoBack"/>
      <w:bookmarkEnd w:id="0"/>
      <w:r w:rsidRPr="006D3802">
        <w:rPr>
          <w:rFonts w:ascii="Verdana" w:eastAsia="Μοντέρνα" w:hAnsi="Verdana"/>
          <w:b/>
          <w:sz w:val="20"/>
          <w:szCs w:val="24"/>
          <w:lang w:eastAsia="x-none"/>
        </w:rPr>
        <w:t>рмация</w:t>
      </w:r>
      <w:r w:rsidRPr="006D3802">
        <w:rPr>
          <w:rFonts w:ascii="Verdana" w:eastAsia="Μοντέρνα" w:hAnsi="Verdana"/>
          <w:sz w:val="20"/>
          <w:szCs w:val="24"/>
          <w:lang w:eastAsia="x-none"/>
        </w:rPr>
        <w:t xml:space="preserve"> - обект на изследване са нефинансовите предприятия в страната, които са развивали стопанска дейност през отчетната година. Основен източник на информацията за търговските обекти е годишният отчет на нефинансовите предприятия, съставящи и несъставящи баланс, а за продажбите на едро и дребно по групи стоки е годишният отчет на нефинансовите </w:t>
      </w:r>
      <w:r>
        <w:rPr>
          <w:rFonts w:ascii="Verdana" w:eastAsia="Μοντέρνα" w:hAnsi="Verdana"/>
          <w:sz w:val="20"/>
          <w:szCs w:val="24"/>
          <w:lang w:eastAsia="x-none"/>
        </w:rPr>
        <w:t>предприятия, съставящи баланс.</w:t>
      </w:r>
    </w:p>
    <w:p w:rsidR="006D3802" w:rsidRDefault="006D3802" w:rsidP="006D3802">
      <w:pPr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4"/>
          <w:lang w:eastAsia="x-none"/>
        </w:rPr>
      </w:pPr>
      <w:r w:rsidRPr="006D3802">
        <w:rPr>
          <w:rFonts w:ascii="Verdana" w:eastAsia="Μοντέρνα" w:hAnsi="Verdana"/>
          <w:b/>
          <w:sz w:val="20"/>
          <w:szCs w:val="24"/>
          <w:lang w:eastAsia="x-none"/>
        </w:rPr>
        <w:t>Продажби на едро</w:t>
      </w:r>
      <w:r w:rsidRPr="006D3802">
        <w:rPr>
          <w:rFonts w:ascii="Verdana" w:eastAsia="Μοντέρνα" w:hAnsi="Verdana"/>
          <w:sz w:val="20"/>
          <w:szCs w:val="24"/>
          <w:lang w:eastAsia="x-none"/>
        </w:rPr>
        <w:t xml:space="preserve"> - стойността на купените и продадени готови стоки и материали по цени на реализация (вкл. ДДС и акцизи) на други търговци за следваща препродажба или на предприятия за производствено потребле</w:t>
      </w:r>
      <w:r>
        <w:rPr>
          <w:rFonts w:ascii="Verdana" w:eastAsia="Μοντέρνα" w:hAnsi="Verdana"/>
          <w:sz w:val="20"/>
          <w:szCs w:val="24"/>
          <w:lang w:eastAsia="x-none"/>
        </w:rPr>
        <w:t>ние, без стойността на износа.</w:t>
      </w:r>
    </w:p>
    <w:p w:rsidR="006D3802" w:rsidRDefault="006D3802" w:rsidP="006D3802">
      <w:pPr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4"/>
          <w:lang w:eastAsia="x-none"/>
        </w:rPr>
      </w:pPr>
      <w:r w:rsidRPr="006D3802">
        <w:rPr>
          <w:rFonts w:ascii="Verdana" w:eastAsia="Μοντέρνα" w:hAnsi="Verdana"/>
          <w:b/>
          <w:sz w:val="20"/>
          <w:szCs w:val="24"/>
          <w:lang w:eastAsia="x-none"/>
        </w:rPr>
        <w:t>Продажби на дребно</w:t>
      </w:r>
      <w:r w:rsidRPr="006D3802">
        <w:rPr>
          <w:rFonts w:ascii="Verdana" w:eastAsia="Μοντέρνα" w:hAnsi="Verdana"/>
          <w:sz w:val="20"/>
          <w:szCs w:val="24"/>
          <w:lang w:eastAsia="x-none"/>
        </w:rPr>
        <w:t xml:space="preserve"> - стойността на купените и продадени готови стоки и материали и реализираната собствена продукция на населението и други институции и ведомства за собствено потребление по цени на реали</w:t>
      </w:r>
      <w:r>
        <w:rPr>
          <w:rFonts w:ascii="Verdana" w:eastAsia="Μοντέρνα" w:hAnsi="Verdana"/>
          <w:sz w:val="20"/>
          <w:szCs w:val="24"/>
          <w:lang w:eastAsia="x-none"/>
        </w:rPr>
        <w:t>зация (вкл. ДДС и акцизи).</w:t>
      </w:r>
    </w:p>
    <w:p w:rsidR="00152B0C" w:rsidRPr="006D3802" w:rsidRDefault="006D3802" w:rsidP="006D3802">
      <w:pPr>
        <w:spacing w:after="0" w:line="360" w:lineRule="auto"/>
        <w:ind w:firstLine="567"/>
        <w:jc w:val="both"/>
      </w:pPr>
      <w:r w:rsidRPr="006D3802">
        <w:rPr>
          <w:rFonts w:ascii="Verdana" w:eastAsia="Μοντέρνα" w:hAnsi="Verdana"/>
          <w:b/>
          <w:sz w:val="20"/>
          <w:szCs w:val="24"/>
          <w:lang w:eastAsia="x-none"/>
        </w:rPr>
        <w:t>Търговски обекти за продажби на дребно</w:t>
      </w:r>
      <w:r w:rsidRPr="006D3802">
        <w:rPr>
          <w:rFonts w:ascii="Verdana" w:eastAsia="Μοντέρνα" w:hAnsi="Verdana"/>
          <w:sz w:val="20"/>
          <w:szCs w:val="24"/>
          <w:lang w:eastAsia="x-none"/>
        </w:rPr>
        <w:t xml:space="preserve"> - собствени или наети търговски обекти за продажби на дребно, посочени в справка „Търговски обекти за продажби на дребно към 31.12.“ от годишния отчет за дейността на нефинансовите предприятия.</w:t>
      </w:r>
    </w:p>
    <w:p w:rsidR="00265ACF" w:rsidRDefault="00265ACF"/>
    <w:sectPr w:rsidR="00265ACF" w:rsidSect="00FF1D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7F" w:rsidRDefault="0068687F" w:rsidP="00152B0C">
      <w:pPr>
        <w:spacing w:after="0" w:line="240" w:lineRule="auto"/>
      </w:pPr>
      <w:r>
        <w:separator/>
      </w:r>
    </w:p>
  </w:endnote>
  <w:endnote w:type="continuationSeparator" w:id="0">
    <w:p w:rsidR="0068687F" w:rsidRDefault="0068687F" w:rsidP="0015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A9383C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63041B" wp14:editId="43A1663C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A9383C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0091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63041B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A9383C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90091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DBF154" wp14:editId="0DC5DBB7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6322D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8AB7CB" wp14:editId="36B9EF6B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C76A0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 xml:space="preserve">, e-mail: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A9383C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A9383C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AD13252" wp14:editId="468468FA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BBA8C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BC1BF4" wp14:editId="2B895761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A9383C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0091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BC1BF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A9383C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90091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68687F" w:rsidP="00D83F28">
    <w:pPr>
      <w:pStyle w:val="Footer"/>
      <w:tabs>
        <w:tab w:val="clear" w:pos="4536"/>
        <w:tab w:val="clear" w:pos="9072"/>
      </w:tabs>
    </w:pPr>
  </w:p>
  <w:p w:rsidR="00D83F28" w:rsidRDefault="0068687F" w:rsidP="00D83F28">
    <w:pPr>
      <w:pStyle w:val="Footer"/>
      <w:tabs>
        <w:tab w:val="clear" w:pos="4536"/>
        <w:tab w:val="clear" w:pos="9072"/>
      </w:tabs>
    </w:pPr>
  </w:p>
  <w:p w:rsidR="00FF1DB5" w:rsidRDefault="0068687F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7F" w:rsidRDefault="0068687F" w:rsidP="00152B0C">
      <w:pPr>
        <w:spacing w:after="0" w:line="240" w:lineRule="auto"/>
      </w:pPr>
      <w:r>
        <w:separator/>
      </w:r>
    </w:p>
  </w:footnote>
  <w:footnote w:type="continuationSeparator" w:id="0">
    <w:p w:rsidR="0068687F" w:rsidRDefault="0068687F" w:rsidP="0015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C" w:rsidRPr="005F6BC6" w:rsidRDefault="00152B0C" w:rsidP="00F77B4C">
    <w:pPr>
      <w:spacing w:line="360" w:lineRule="auto"/>
      <w:contextualSpacing/>
      <w:jc w:val="center"/>
      <w:rPr>
        <w:rFonts w:ascii="Verdana" w:eastAsiaTheme="minorHAnsi" w:hAnsi="Verdana" w:cstheme="minorBidi"/>
        <w:b/>
        <w:sz w:val="20"/>
        <w:szCs w:val="20"/>
      </w:rPr>
    </w:pPr>
    <w:r w:rsidRPr="00152B0C">
      <w:rPr>
        <w:rFonts w:ascii="Verdana" w:eastAsiaTheme="minorHAnsi" w:hAnsi="Verdana" w:cstheme="minorBidi"/>
        <w:b/>
        <w:sz w:val="20"/>
        <w:szCs w:val="20"/>
      </w:rPr>
      <w:t xml:space="preserve">ПРОДАЖБИ НА ЕДРО И ДРЕБНО И ТЪРГОВСКИ ОБЕКТИ ЗА ПРОДАЖБИ НА ДРЕБНО В ОБЛАСТ </w:t>
    </w:r>
    <w:r>
      <w:rPr>
        <w:rFonts w:ascii="Verdana" w:eastAsiaTheme="minorHAnsi" w:hAnsi="Verdana" w:cstheme="minorBidi"/>
        <w:b/>
        <w:sz w:val="20"/>
        <w:szCs w:val="20"/>
      </w:rPr>
      <w:t>СЛИВЕН</w:t>
    </w:r>
    <w:r w:rsidRPr="00152B0C">
      <w:rPr>
        <w:rFonts w:ascii="Verdana" w:eastAsiaTheme="minorHAnsi" w:hAnsi="Verdana" w:cstheme="minorBidi"/>
        <w:b/>
        <w:sz w:val="20"/>
        <w:szCs w:val="20"/>
      </w:rPr>
      <w:t xml:space="preserve"> ПРЕЗ 2024 ГОДИНА</w:t>
    </w:r>
  </w:p>
  <w:p w:rsidR="00D83F28" w:rsidRPr="00171DE8" w:rsidRDefault="00A9383C" w:rsidP="00171DE8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BDA3B11" wp14:editId="5E18D9A9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E4CB1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A9383C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16229B57" wp14:editId="48AE0650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34FD42" wp14:editId="26E4B0C8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A9383C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A9383C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68687F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4FD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A9383C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A9383C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 xml:space="preserve">Национален </w:t>
                    </w: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статистически институт</w:t>
                    </w:r>
                  </w:p>
                  <w:p w:rsidR="00D83F28" w:rsidRPr="00FD731D" w:rsidRDefault="00A9383C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5EC066" wp14:editId="0407D76F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EA0CB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E070A7" wp14:editId="2C4E7A68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A8E6F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59BAA30C" wp14:editId="680DF732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6F30"/>
    <w:multiLevelType w:val="hybridMultilevel"/>
    <w:tmpl w:val="9342AF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0C"/>
    <w:rsid w:val="00090A77"/>
    <w:rsid w:val="000B27A4"/>
    <w:rsid w:val="00152B0C"/>
    <w:rsid w:val="00190091"/>
    <w:rsid w:val="001F1189"/>
    <w:rsid w:val="00265ACF"/>
    <w:rsid w:val="003022BB"/>
    <w:rsid w:val="005B329F"/>
    <w:rsid w:val="00637477"/>
    <w:rsid w:val="0068687F"/>
    <w:rsid w:val="006D3802"/>
    <w:rsid w:val="007957BF"/>
    <w:rsid w:val="00A9383C"/>
    <w:rsid w:val="00AD1BE5"/>
    <w:rsid w:val="00B40BF8"/>
    <w:rsid w:val="00BA53A2"/>
    <w:rsid w:val="00BD19CE"/>
    <w:rsid w:val="00C56083"/>
    <w:rsid w:val="00CD3F7C"/>
    <w:rsid w:val="00CF07CB"/>
    <w:rsid w:val="00EC1613"/>
    <w:rsid w:val="00F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FD794B-F8CC-463E-BD04-ADFB72FD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B0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B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52B0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152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52B0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52B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0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PRESS\Press_2026\Tablici_Trade_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610029009531701E-2"/>
          <c:y val="7.8852991314230056E-2"/>
          <c:w val="0.91670637095660157"/>
          <c:h val="0.682261547203506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Sheet2!$A$6</c:f>
              <c:strCache>
                <c:ptCount val="1"/>
                <c:pt idx="0">
                  <c:v>Храни, напитки и тютюневи изделия</c:v>
                </c:pt>
              </c:strCache>
            </c:strRef>
          </c:tx>
          <c:spPr>
            <a:solidFill>
              <a:srgbClr val="56D6F4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Sheet2!$B$4:$F$5</c:f>
              <c:multiLvlStrCache>
                <c:ptCount val="5"/>
                <c:lvl>
                  <c:pt idx="0">
                    <c:v>2023</c:v>
                  </c:pt>
                  <c:pt idx="1">
                    <c:v>2024</c:v>
                  </c:pt>
                  <c:pt idx="3">
                    <c:v>2023</c:v>
                  </c:pt>
                  <c:pt idx="4">
                    <c:v>2024</c:v>
                  </c:pt>
                </c:lvl>
                <c:lvl>
                  <c:pt idx="0">
                    <c:v>Продажби на едро</c:v>
                  </c:pt>
                  <c:pt idx="3">
                    <c:v>Продажби на дребно</c:v>
                  </c:pt>
                </c:lvl>
              </c:multiLvlStrCache>
            </c:multiLvlStrRef>
          </c:cat>
          <c:val>
            <c:numRef>
              <c:f>Sheet2!$B$6:$F$6</c:f>
              <c:numCache>
                <c:formatCode>0.0</c:formatCode>
                <c:ptCount val="5"/>
                <c:pt idx="0">
                  <c:v>30.7</c:v>
                </c:pt>
                <c:pt idx="1">
                  <c:v>35.1</c:v>
                </c:pt>
                <c:pt idx="3">
                  <c:v>42.5</c:v>
                </c:pt>
                <c:pt idx="4">
                  <c:v>41.2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98-493D-BBDC-D0EC8D6839B6}"/>
            </c:ext>
          </c:extLst>
        </c:ser>
        <c:ser>
          <c:idx val="1"/>
          <c:order val="1"/>
          <c:tx>
            <c:strRef>
              <c:f>Sheet2!$A$7</c:f>
              <c:strCache>
                <c:ptCount val="1"/>
                <c:pt idx="0">
                  <c:v>Нехранителни стоки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64.9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C2-484E-BB53-00E8A9FE9E39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l"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Sheet2!$B$4:$F$5</c:f>
              <c:multiLvlStrCache>
                <c:ptCount val="5"/>
                <c:lvl>
                  <c:pt idx="0">
                    <c:v>2023</c:v>
                  </c:pt>
                  <c:pt idx="1">
                    <c:v>2024</c:v>
                  </c:pt>
                  <c:pt idx="3">
                    <c:v>2023</c:v>
                  </c:pt>
                  <c:pt idx="4">
                    <c:v>2024</c:v>
                  </c:pt>
                </c:lvl>
                <c:lvl>
                  <c:pt idx="0">
                    <c:v>Продажби на едро</c:v>
                  </c:pt>
                  <c:pt idx="3">
                    <c:v>Продажби на дребно</c:v>
                  </c:pt>
                </c:lvl>
              </c:multiLvlStrCache>
            </c:multiLvlStrRef>
          </c:cat>
          <c:val>
            <c:numRef>
              <c:f>Sheet2!$B$7:$F$7</c:f>
              <c:numCache>
                <c:formatCode>0.0</c:formatCode>
                <c:ptCount val="5"/>
                <c:pt idx="0">
                  <c:v>69.3</c:v>
                </c:pt>
                <c:pt idx="1">
                  <c:v>64.8</c:v>
                </c:pt>
                <c:pt idx="3">
                  <c:v>57.5</c:v>
                </c:pt>
                <c:pt idx="4">
                  <c:v>58.8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98-493D-BBDC-D0EC8D683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385677664"/>
        <c:axId val="385678320"/>
      </c:barChart>
      <c:catAx>
        <c:axId val="38567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385678320"/>
        <c:crosses val="autoZero"/>
        <c:auto val="1"/>
        <c:lblAlgn val="ctr"/>
        <c:lblOffset val="100"/>
        <c:noMultiLvlLbl val="0"/>
      </c:catAx>
      <c:valAx>
        <c:axId val="38567832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4.3010752688172046E-2"/>
              <c:y val="2.187254818954082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Verdana" panose="020B0604030504040204" pitchFamily="34" charset="0"/>
                  <a:ea typeface="Verdana" panose="020B0604030504040204" pitchFamily="34" charset="0"/>
                  <a:cs typeface="Times New Roman" panose="02020603050405020304" pitchFamily="18" charset="0"/>
                </a:defRPr>
              </a:pPr>
              <a:endParaRPr lang="bg-BG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38567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0940659997571478"/>
          <c:y val="0.90965839993192887"/>
          <c:w val="0.77975963530874426"/>
          <c:h val="8.90920892952896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9</cp:revision>
  <cp:lastPrinted>2026-02-24T14:29:00Z</cp:lastPrinted>
  <dcterms:created xsi:type="dcterms:W3CDTF">2026-02-23T14:05:00Z</dcterms:created>
  <dcterms:modified xsi:type="dcterms:W3CDTF">2026-03-05T08:25:00Z</dcterms:modified>
</cp:coreProperties>
</file>