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A26A5" w:rsidRPr="005F6BC6" w:rsidRDefault="002A26A5" w:rsidP="002A26A5">
      <w:pPr>
        <w:spacing w:before="720"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5F6BC6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DA3B3" wp14:editId="671DD734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6A5" w:rsidRPr="004F6479" w:rsidRDefault="002A26A5" w:rsidP="002A26A5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2A26A5" w:rsidRPr="004F6479" w:rsidRDefault="002A26A5" w:rsidP="002A26A5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DA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2A26A5" w:rsidRPr="004F6479" w:rsidRDefault="002A26A5" w:rsidP="002A26A5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2A26A5" w:rsidRPr="004F6479" w:rsidRDefault="002A26A5" w:rsidP="002A26A5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A26A5" w:rsidRPr="00867A35" w:rsidRDefault="002A26A5" w:rsidP="002A26A5">
      <w:pPr>
        <w:spacing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ОСНОВНИ РЕЗУЛТАТИ ОТ НАБЛЮДЕНИЕТО НА РАБОТНАТА СИЛА</w:t>
      </w:r>
      <w:r>
        <w:rPr>
          <w:rFonts w:ascii="Verdana" w:eastAsia="Μοντέρνα" w:hAnsi="Verdana"/>
          <w:b/>
          <w:sz w:val="20"/>
          <w:szCs w:val="20"/>
          <w:lang w:val="en-US"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2A26A5" w:rsidRPr="00867A35" w:rsidRDefault="002A26A5" w:rsidP="004B2133">
      <w:pPr>
        <w:spacing w:after="12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икономически активните лица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на възраст от 15 до 64 навършени години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в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област Сливен са </w:t>
      </w:r>
      <w:r w:rsidR="00655BAE">
        <w:rPr>
          <w:rFonts w:ascii="Verdana" w:eastAsia="Μοντέρνα" w:hAnsi="Verdana"/>
          <w:sz w:val="20"/>
          <w:szCs w:val="20"/>
          <w:lang w:val="en-US" w:eastAsia="bg-BG"/>
        </w:rPr>
        <w:t>61.8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души.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Коефициентът на икономическа активност (15 - 64 навършени години)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е </w:t>
      </w:r>
      <w:r w:rsidR="00655BAE">
        <w:rPr>
          <w:rFonts w:ascii="Verdana" w:eastAsia="Μοντέρνα" w:hAnsi="Verdana"/>
          <w:sz w:val="20"/>
          <w:szCs w:val="20"/>
          <w:lang w:val="en-US" w:eastAsia="bg-BG"/>
        </w:rPr>
        <w:t>62.8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и се </w:t>
      </w:r>
      <w:r>
        <w:rPr>
          <w:rFonts w:ascii="Verdana" w:eastAsia="Μοντέρνα" w:hAnsi="Verdana"/>
          <w:sz w:val="20"/>
          <w:szCs w:val="20"/>
          <w:lang w:eastAsia="bg-BG"/>
        </w:rPr>
        <w:t>понижава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ъс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7</w:t>
      </w:r>
      <w:r w:rsidRPr="00867A35">
        <w:rPr>
          <w:rFonts w:ascii="Verdana" w:eastAsia="Μοντέρνα" w:hAnsi="Verdana"/>
          <w:sz w:val="20"/>
          <w:szCs w:val="20"/>
          <w:lang w:val="en-US" w:eastAsia="bg-BG"/>
        </w:rPr>
        <w:t>.</w:t>
      </w:r>
      <w:r>
        <w:rPr>
          <w:rFonts w:ascii="Verdana" w:eastAsia="Μοντέρνα" w:hAnsi="Verdana"/>
          <w:sz w:val="20"/>
          <w:szCs w:val="20"/>
          <w:lang w:eastAsia="bg-BG"/>
        </w:rPr>
        <w:t>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процентни пункта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година.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Заетите лица на възраст от 15 до 64 навършени години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в област Сливен 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са </w:t>
      </w:r>
      <w:r>
        <w:rPr>
          <w:rFonts w:ascii="Verdana" w:eastAsia="Μοντέρνα" w:hAnsi="Verdana"/>
          <w:sz w:val="20"/>
          <w:szCs w:val="20"/>
          <w:lang w:eastAsia="bg-BG"/>
        </w:rPr>
        <w:t>5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8</w:t>
      </w:r>
      <w:r>
        <w:rPr>
          <w:rFonts w:ascii="Verdana" w:eastAsia="Μοντέρνα" w:hAnsi="Verdana"/>
          <w:sz w:val="20"/>
          <w:szCs w:val="20"/>
          <w:lang w:eastAsia="bg-BG"/>
        </w:rPr>
        <w:t>.0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души.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Коефициентът на заетост за населението в същата възрастова група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59.0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% (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63.9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за мъжете и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53.8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за жените).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коефициентът се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понижава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6.6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процентни пункта.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Броят на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заетите лица на възраст от 15 до 64 навършени години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с висше образование 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16</w:t>
      </w:r>
      <w:r>
        <w:rPr>
          <w:rFonts w:ascii="Verdana" w:eastAsia="Μοντέρνα" w:hAnsi="Verdana"/>
          <w:sz w:val="20"/>
          <w:szCs w:val="20"/>
          <w:lang w:eastAsia="bg-BG"/>
        </w:rPr>
        <w:t>.1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хил., със средно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–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28.6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и с основно и по-ниско образование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–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13.3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хиляди.</w:t>
      </w:r>
    </w:p>
    <w:p w:rsidR="002A26A5" w:rsidRPr="00867A35" w:rsidRDefault="002A26A5" w:rsidP="003F2C8A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Коефициентът на заетост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на възраст от 15 до 64 навършени години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при лицата с висше образование е </w:t>
      </w:r>
      <w:r>
        <w:rPr>
          <w:rFonts w:ascii="Verdana" w:eastAsia="Μοντέρνα" w:hAnsi="Verdana"/>
          <w:sz w:val="20"/>
          <w:szCs w:val="20"/>
          <w:lang w:eastAsia="bg-BG"/>
        </w:rPr>
        <w:t>90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.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%, за лицата със средно образование - 7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3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.</w:t>
      </w:r>
      <w:r>
        <w:rPr>
          <w:rFonts w:ascii="Verdana" w:eastAsia="Μοντέρνα" w:hAnsi="Verdana"/>
          <w:sz w:val="20"/>
          <w:szCs w:val="20"/>
          <w:lang w:eastAsia="bg-BG"/>
        </w:rPr>
        <w:t>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и за лицата с основно и по-ниско образование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–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32.0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2A26A5" w:rsidRPr="00867A35" w:rsidRDefault="002A26A5" w:rsidP="00655BAE">
      <w:pPr>
        <w:keepNext/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Фиг. 1. Коефициент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и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на заетост за възрастовата група 15 - 64 навършени години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по степени на образование през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и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2A26A5" w:rsidRPr="00867A35" w:rsidRDefault="00B94AF5" w:rsidP="002A26A5">
      <w:pPr>
        <w:spacing w:line="360" w:lineRule="auto"/>
        <w:contextualSpacing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4A627615" wp14:editId="3E58E556">
            <wp:extent cx="5276850" cy="3190874"/>
            <wp:effectExtent l="0" t="0" r="0" b="0"/>
            <wp:docPr id="1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7BF131A-F5E6-4FAA-872C-53EA0F3780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26A5" w:rsidRPr="00867A35" w:rsidRDefault="002A26A5" w:rsidP="004B2133">
      <w:pPr>
        <w:spacing w:before="160"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lastRenderedPageBreak/>
        <w:t xml:space="preserve">Броят на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безработните лица на възраст от 15 до 64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навършени години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е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3.8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души.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Коефициентът на безработица (15 - 64 навършени години)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е </w:t>
      </w:r>
      <w:r>
        <w:rPr>
          <w:rFonts w:ascii="Verdana" w:eastAsia="Μοντέρνα" w:hAnsi="Verdana"/>
          <w:sz w:val="20"/>
          <w:szCs w:val="20"/>
          <w:lang w:eastAsia="bg-BG"/>
        </w:rPr>
        <w:t>6.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и </w:t>
      </w:r>
      <w:r>
        <w:rPr>
          <w:rFonts w:ascii="Verdana" w:eastAsia="Μοντέρνα" w:hAnsi="Verdana"/>
          <w:sz w:val="20"/>
          <w:szCs w:val="20"/>
          <w:lang w:eastAsia="bg-BG"/>
        </w:rPr>
        <w:t>намалява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0.1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процентни пункта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година.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икономически неактивните лица на възраст 15 - 64 навършени години </w:t>
      </w:r>
      <w:r w:rsidRPr="00E50326">
        <w:rPr>
          <w:rFonts w:ascii="Verdana" w:eastAsia="Μοντέρνα" w:hAnsi="Verdana"/>
          <w:sz w:val="20"/>
          <w:szCs w:val="20"/>
          <w:lang w:eastAsia="bg-BG"/>
        </w:rPr>
        <w:t xml:space="preserve">са </w:t>
      </w:r>
      <w:r w:rsidR="00655BAE">
        <w:rPr>
          <w:rFonts w:ascii="Verdana" w:eastAsia="Μοντέρνα" w:hAnsi="Verdana"/>
          <w:sz w:val="20"/>
          <w:szCs w:val="20"/>
          <w:lang w:eastAsia="bg-BG"/>
        </w:rPr>
        <w:t>36.6</w:t>
      </w:r>
      <w:r w:rsidRPr="00E50326">
        <w:rPr>
          <w:rFonts w:ascii="Verdana" w:eastAsia="Μοντέρνα" w:hAnsi="Verdana"/>
          <w:sz w:val="20"/>
          <w:szCs w:val="20"/>
          <w:lang w:eastAsia="bg-BG"/>
        </w:rPr>
        <w:t xml:space="preserve"> хил.,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от които 1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.</w:t>
      </w:r>
      <w:r>
        <w:rPr>
          <w:rFonts w:ascii="Verdana" w:eastAsia="Μοντέρνα" w:hAnsi="Verdana"/>
          <w:sz w:val="20"/>
          <w:szCs w:val="20"/>
          <w:lang w:eastAsia="bg-BG"/>
        </w:rPr>
        <w:t>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мъже и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20.8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жени.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общият брой на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икономически активните лица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на възраст 15 и повече навършени години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в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област Сливен са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64.3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души.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Коефициентът на икономическа активност за населението на 15 и повече навършени години 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е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47.1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и се </w:t>
      </w:r>
      <w:r>
        <w:rPr>
          <w:rFonts w:ascii="Verdana" w:eastAsia="Μοντέρνα" w:hAnsi="Verdana"/>
          <w:sz w:val="20"/>
          <w:szCs w:val="20"/>
          <w:lang w:eastAsia="bg-BG"/>
        </w:rPr>
        <w:t>понижава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5.1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процентни пункта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година.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Общият брой на заетите лица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в област Сливен е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60.4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хил., </w:t>
      </w:r>
      <w:r w:rsidR="00F465E8" w:rsidRPr="00867A35">
        <w:rPr>
          <w:rFonts w:ascii="Verdana" w:eastAsia="Μοντέρνα" w:hAnsi="Verdana"/>
          <w:sz w:val="20"/>
          <w:szCs w:val="20"/>
          <w:lang w:eastAsia="bg-BG"/>
        </w:rPr>
        <w:t xml:space="preserve">от които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33.6</w:t>
      </w:r>
      <w:r w:rsidR="00F465E8"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мъже и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26.8</w:t>
      </w:r>
      <w:r w:rsidR="00F465E8"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жени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Коефициентът на заетост за населението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на 15 и повече навършени години е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44.2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>% (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51.6</w:t>
      </w:r>
      <w:r w:rsidRPr="00867A35">
        <w:rPr>
          <w:rFonts w:ascii="Verdana" w:eastAsia="Μοντέρνα" w:hAnsi="Verdana"/>
          <w:sz w:val="20"/>
          <w:szCs w:val="20"/>
          <w:lang w:val="en-US" w:eastAsia="bg-BG"/>
        </w:rPr>
        <w:t>%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за мъжете и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37.5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за жените) и се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понижава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4.7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</w:t>
      </w:r>
      <w:r>
        <w:rPr>
          <w:rFonts w:ascii="Verdana" w:eastAsia="Μοντέρνα" w:hAnsi="Verdana"/>
          <w:sz w:val="20"/>
          <w:szCs w:val="20"/>
          <w:lang w:eastAsia="bg-BG"/>
        </w:rPr>
        <w:t>е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н пункт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година.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безработните лица </w:t>
      </w:r>
      <w:r w:rsidR="00F465E8"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на 15 и повече навършени години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в област Сливен са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3.9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души.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Коефициентът на безработица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е </w:t>
      </w:r>
      <w:r>
        <w:rPr>
          <w:rFonts w:ascii="Verdana" w:eastAsia="Μοντέρνα" w:hAnsi="Verdana"/>
          <w:sz w:val="20"/>
          <w:szCs w:val="20"/>
          <w:lang w:eastAsia="bg-BG"/>
        </w:rPr>
        <w:t>6.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% като 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се </w:t>
      </w:r>
      <w:r>
        <w:rPr>
          <w:rFonts w:ascii="Verdana" w:eastAsia="Μοντέρνα" w:hAnsi="Verdana"/>
          <w:sz w:val="20"/>
          <w:szCs w:val="20"/>
          <w:lang w:eastAsia="bg-BG"/>
        </w:rPr>
        <w:t>понижава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0.2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процентни пункта.</w:t>
      </w:r>
    </w:p>
    <w:p w:rsidR="002A26A5" w:rsidRPr="00867A35" w:rsidRDefault="002A26A5" w:rsidP="004B2133">
      <w:pPr>
        <w:spacing w:after="0" w:line="360" w:lineRule="auto"/>
        <w:ind w:firstLine="567"/>
        <w:contextualSpacing/>
        <w:jc w:val="both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г.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икономически неактивните лица 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са </w:t>
      </w:r>
      <w:r w:rsidR="00F465E8">
        <w:rPr>
          <w:rFonts w:ascii="Verdana" w:eastAsia="Μοντέρνα" w:hAnsi="Verdana"/>
          <w:sz w:val="20"/>
          <w:szCs w:val="20"/>
          <w:lang w:eastAsia="bg-BG"/>
        </w:rPr>
        <w:t>72.3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хил., от които </w:t>
      </w:r>
      <w:r w:rsidR="005C0B18">
        <w:rPr>
          <w:rFonts w:ascii="Verdana" w:eastAsia="Μοντέρνα" w:hAnsi="Verdana"/>
          <w:sz w:val="20"/>
          <w:szCs w:val="20"/>
          <w:lang w:eastAsia="bg-BG"/>
        </w:rPr>
        <w:t>29.1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мъже и </w:t>
      </w:r>
      <w:r w:rsidRPr="00867A35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="005C0B18">
        <w:rPr>
          <w:rFonts w:ascii="Verdana" w:eastAsia="Μοντέρνα" w:hAnsi="Verdana"/>
          <w:sz w:val="20"/>
          <w:szCs w:val="20"/>
          <w:lang w:eastAsia="bg-BG"/>
        </w:rPr>
        <w:t>3</w:t>
      </w:r>
      <w:r w:rsidRPr="00867A35">
        <w:rPr>
          <w:rFonts w:ascii="Verdana" w:eastAsia="Μοντέρνα" w:hAnsi="Verdana"/>
          <w:sz w:val="20"/>
          <w:szCs w:val="20"/>
          <w:lang w:val="en-US" w:eastAsia="bg-BG"/>
        </w:rPr>
        <w:t>.</w:t>
      </w:r>
      <w:r>
        <w:rPr>
          <w:rFonts w:ascii="Verdana" w:eastAsia="Μοντέρνα" w:hAnsi="Verdana"/>
          <w:sz w:val="20"/>
          <w:szCs w:val="20"/>
          <w:lang w:eastAsia="bg-BG"/>
        </w:rPr>
        <w:t>2</w:t>
      </w:r>
      <w:r w:rsidRPr="00867A35">
        <w:rPr>
          <w:rFonts w:ascii="Verdana" w:eastAsia="Μοντέρνα" w:hAnsi="Verdana"/>
          <w:sz w:val="20"/>
          <w:szCs w:val="20"/>
          <w:lang w:eastAsia="bg-BG"/>
        </w:rPr>
        <w:t xml:space="preserve"> хил. са жени.</w:t>
      </w:r>
    </w:p>
    <w:p w:rsidR="002A26A5" w:rsidRPr="00867A35" w:rsidRDefault="002A26A5" w:rsidP="00655BAE">
      <w:pPr>
        <w:keepNext/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>Фиг. 2. Коефициенти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 xml:space="preserve"> на заетост по възрастови групи</w:t>
      </w:r>
      <w:r w:rsidR="00655BAE">
        <w:rPr>
          <w:rFonts w:ascii="Verdana" w:eastAsia="Μοντέρνα" w:hAnsi="Verdana"/>
          <w:b/>
          <w:sz w:val="20"/>
          <w:szCs w:val="20"/>
          <w:lang w:eastAsia="bg-BG"/>
        </w:rPr>
        <w:t xml:space="preserve"> 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2024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и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2025</w:t>
      </w:r>
      <w:r w:rsidRPr="00867A35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362B10" w:rsidRPr="00867A35" w:rsidRDefault="00362B10" w:rsidP="002A26A5">
      <w:pPr>
        <w:spacing w:line="360" w:lineRule="auto"/>
        <w:contextualSpacing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639AAB9A" wp14:editId="49D5617F">
            <wp:extent cx="4895851" cy="3343274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61C8F122-A331-4A46-BEC7-E52B3F71AA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26A5" w:rsidRPr="00D74A94" w:rsidRDefault="002A26A5" w:rsidP="002A26A5">
      <w:pPr>
        <w:spacing w:after="200" w:line="360" w:lineRule="auto"/>
        <w:rPr>
          <w:rFonts w:eastAsia="Μοντέρνα"/>
          <w:lang w:eastAsia="bg-BG"/>
        </w:rPr>
      </w:pPr>
      <w:r w:rsidRPr="00D74A94">
        <w:rPr>
          <w:rFonts w:eastAsia="Μοντέρνα"/>
          <w:lang w:eastAsia="bg-BG"/>
        </w:rPr>
        <w:br w:type="page"/>
      </w:r>
    </w:p>
    <w:p w:rsidR="002A26A5" w:rsidRPr="00F202F2" w:rsidRDefault="002A26A5" w:rsidP="002A26A5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  <w:lastRenderedPageBreak/>
        <w:t>Методологични бележки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Наблюдението на работната сила е извадково и се провежда непрекъснато, като осигурява тримесечни и годишни данни за икономическата активност на населението на 15 и повече навършени години. Изследването обхваща обикновените домакинства в страната. Домакинствата, участващи в наблюдението, са подбрани на случаен принцип и се анкетират чрез лично интервю.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Наблюдаван период -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характеристиките на всяко анкетирано лице се отнасят за състоянието му през определена календарна седмица (от понеделник до неделя).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Икономически активното население (работната сила)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включва всички заети и безработни лица.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Заети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са лицата на възраст 15 - 89 навършени години, които през наблюдавания период: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- извършват работа дори за един час, за което получават работна заплата или друг доход;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- не работят, но имат работа, от която временно отсъстват поради годишен отпуск, болест, отпуск при раждане и отглеждане на малко дете до навършване на 2-годишна възраст, гъвкав график на работното време, участие в обучение, свързано с работата, както и поради друго отсъствие, ако продължителността му е 3 месеца или по-малко.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Безработни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са лицата на възраст 15 - 74 навършени години, които: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- нямат работа през наблюдавания период;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- активно търсят работа през период от четири седмици, вкл. наблюдаваната, или вече са намерили работа, която очакват да започнат до три месеца след края на наблюдавания период;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- имат възможност да започнат работа до две седмици след края на наблюдавания период.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Продължително безработни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са лицата, които са безработни от една или повече години.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Икономически неактивни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</w:t>
      </w: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(лица извън работната сила)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са лицата на възраст 15 и повече навършени години, които не са нито заети, нито безработни през наблюдавания период, вкл. всички лица на възраст 90 и повече навършени години.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Обезкуражени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са лицата извън работната сила на възраст 15 - 74 навършени години, които желаят да работят, но не търсят активно работа, защото предполагат, че няма да намерят подходяща работа.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Коефициент на икономическа активност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</w:t>
      </w: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-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относителен дял на икономически активното население (работната сила) от общото население (в съответната група).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Коефициент на заетост -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относителен дял на заетите лица от общото население (в съответната група).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lastRenderedPageBreak/>
        <w:t>Коефициент на безработица -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относителният дял на безработните лица от икономически активното население.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Коефициент на продължителна безработица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</w:t>
      </w: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-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относителният дял на продължително безработните лица от икономически активното население.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Коефициент на неактивност -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относителният дял на икономически неактивните лица от населението (в съответната група).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Рано напуснали образование и обучение 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са лицата на възраст 18 - 24 навършени години, завършили най-много основно образование и неучастващи в образование и обучение през последните четири седмици, предхождащи наблюдението.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Style w:val="Strong"/>
          <w:rFonts w:ascii="Verdana" w:hAnsi="Verdana" w:cs="Arial"/>
          <w:color w:val="000000" w:themeColor="text1"/>
          <w:sz w:val="20"/>
          <w:szCs w:val="20"/>
        </w:rPr>
        <w:t>Незаети и неучастващи в образование и обучение</w:t>
      </w:r>
      <w:r w:rsidRPr="004B2133">
        <w:rPr>
          <w:rFonts w:ascii="Verdana" w:hAnsi="Verdana" w:cs="Arial"/>
          <w:color w:val="000000" w:themeColor="text1"/>
          <w:sz w:val="20"/>
          <w:szCs w:val="20"/>
        </w:rPr>
        <w:t> са лицата, които не са заети през наблюдавания период (т.е. са безработни или икономически неактивни) и същевременно не участват във формално или неформално образование и обучение през последните четири седмици, предхождащи наблюдението.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Годишните данни са осреднени стойности от четирите тримесечия на съответната година.</w:t>
      </w:r>
    </w:p>
    <w:p w:rsidR="00B67C60" w:rsidRPr="004B2133" w:rsidRDefault="00B67C60" w:rsidP="00B67C6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B2133">
        <w:rPr>
          <w:rFonts w:ascii="Verdana" w:hAnsi="Verdana" w:cs="Arial"/>
          <w:color w:val="000000" w:themeColor="text1"/>
          <w:sz w:val="20"/>
          <w:szCs w:val="20"/>
        </w:rPr>
        <w:t>Поради направените закръгления в някои случаи общите данни могат да се различават незначително от сумата на отделните групи, включващи се в тях.</w:t>
      </w:r>
    </w:p>
    <w:p w:rsidR="002A26A5" w:rsidRPr="00B67C60" w:rsidRDefault="002A26A5" w:rsidP="00B67C60">
      <w:pPr>
        <w:tabs>
          <w:tab w:val="left" w:pos="1080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4B2133">
        <w:rPr>
          <w:rFonts w:ascii="Verdana" w:eastAsia="Μοντέρνα" w:hAnsi="Verdana"/>
          <w:color w:val="000000" w:themeColor="text1"/>
          <w:sz w:val="20"/>
          <w:szCs w:val="20"/>
          <w:lang w:eastAsia="bg-BG"/>
        </w:rPr>
        <w:t>По-подробни данни от Наблюдението на работната сила могат да се намерят на сайта на НСИ</w:t>
      </w:r>
      <w:r w:rsidRPr="004B2133">
        <w:rPr>
          <w:rFonts w:ascii="Verdana" w:eastAsia="Μοντέρνα" w:hAnsi="Verdana"/>
          <w:color w:val="000000" w:themeColor="text1"/>
          <w:sz w:val="20"/>
          <w:szCs w:val="20"/>
          <w:lang w:val="en-US" w:eastAsia="bg-BG"/>
        </w:rPr>
        <w:t xml:space="preserve"> </w:t>
      </w:r>
      <w:r w:rsidRPr="00B67C60">
        <w:rPr>
          <w:rFonts w:ascii="Verdana" w:eastAsia="Μοντέρνα" w:hAnsi="Verdana"/>
          <w:sz w:val="20"/>
          <w:szCs w:val="20"/>
          <w:lang w:eastAsia="bg-BG"/>
        </w:rPr>
        <w:t>-</w:t>
      </w:r>
      <w:r w:rsidRPr="00B67C60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hyperlink r:id="rId9" w:history="1">
        <w:r w:rsidRPr="00B67C60">
          <w:rPr>
            <w:rFonts w:ascii="Verdana" w:eastAsia="Times New Roman" w:hAnsi="Verdana"/>
            <w:color w:val="000080"/>
            <w:sz w:val="20"/>
            <w:szCs w:val="20"/>
            <w:u w:val="single"/>
            <w:lang w:eastAsia="bg-BG"/>
          </w:rPr>
          <w:t>www.nsi.bg</w:t>
        </w:r>
      </w:hyperlink>
      <w:r w:rsidRPr="00B67C60">
        <w:rPr>
          <w:rFonts w:ascii="Verdana" w:eastAsia="Μοντέρνα" w:hAnsi="Verdana"/>
          <w:sz w:val="20"/>
          <w:szCs w:val="20"/>
          <w:lang w:eastAsia="bg-BG"/>
        </w:rPr>
        <w:t xml:space="preserve">, раздел „Пазар на труда“, </w:t>
      </w:r>
      <w:hyperlink r:id="rId10" w:history="1">
        <w:r w:rsidRPr="00B67C60">
          <w:rPr>
            <w:rFonts w:ascii="Verdana" w:eastAsia="Μοντέρνα" w:hAnsi="Verdana"/>
            <w:color w:val="0000FF"/>
            <w:sz w:val="20"/>
            <w:szCs w:val="20"/>
            <w:u w:val="single"/>
            <w:lang w:eastAsia="bg-BG"/>
          </w:rPr>
          <w:t>Наблюдение на работната сила</w:t>
        </w:r>
      </w:hyperlink>
      <w:r w:rsidRPr="00B67C60">
        <w:rPr>
          <w:rFonts w:ascii="Verdana" w:hAnsi="Verdana"/>
          <w:sz w:val="20"/>
          <w:szCs w:val="20"/>
          <w:lang w:eastAsia="bg-BG"/>
        </w:rPr>
        <w:t>.</w:t>
      </w:r>
    </w:p>
    <w:p w:rsidR="00265ACF" w:rsidRPr="00B67C60" w:rsidRDefault="00265ACF" w:rsidP="00B67C60">
      <w:pPr>
        <w:spacing w:after="0" w:line="360" w:lineRule="auto"/>
        <w:ind w:firstLine="567"/>
        <w:jc w:val="center"/>
        <w:rPr>
          <w:rFonts w:ascii="Verdana" w:hAnsi="Verdana"/>
          <w:sz w:val="20"/>
          <w:szCs w:val="20"/>
        </w:rPr>
      </w:pPr>
    </w:p>
    <w:sectPr w:rsidR="00265ACF" w:rsidRPr="00B67C60" w:rsidSect="00FF1DB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D9B" w:rsidRDefault="00624D9B" w:rsidP="002A26A5">
      <w:pPr>
        <w:spacing w:after="0" w:line="240" w:lineRule="auto"/>
      </w:pPr>
      <w:r>
        <w:separator/>
      </w:r>
    </w:p>
  </w:endnote>
  <w:endnote w:type="continuationSeparator" w:id="0">
    <w:p w:rsidR="00624D9B" w:rsidRDefault="00624D9B" w:rsidP="002A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FB7630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0743AE" wp14:editId="74BC3A02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FB763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B213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0743A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FB763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B213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0A49B9" wp14:editId="49BB26BB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D9B0E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BC9BCC3" wp14:editId="755B3CBC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483C2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FB7630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FB7630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13442" wp14:editId="5D8E6845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BE4AE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4303EC" wp14:editId="14FA4669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FB763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B213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4303E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FB763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B213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624D9B" w:rsidP="00D83F28">
    <w:pPr>
      <w:pStyle w:val="Footer"/>
      <w:tabs>
        <w:tab w:val="clear" w:pos="4536"/>
        <w:tab w:val="clear" w:pos="9072"/>
      </w:tabs>
    </w:pPr>
  </w:p>
  <w:p w:rsidR="00D83F28" w:rsidRDefault="00624D9B" w:rsidP="00D83F28">
    <w:pPr>
      <w:pStyle w:val="Footer"/>
      <w:tabs>
        <w:tab w:val="clear" w:pos="4536"/>
        <w:tab w:val="clear" w:pos="9072"/>
      </w:tabs>
    </w:pPr>
  </w:p>
  <w:p w:rsidR="00FF1DB5" w:rsidRDefault="00624D9B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D9B" w:rsidRDefault="00624D9B" w:rsidP="002A26A5">
      <w:pPr>
        <w:spacing w:after="0" w:line="240" w:lineRule="auto"/>
      </w:pPr>
      <w:r>
        <w:separator/>
      </w:r>
    </w:p>
  </w:footnote>
  <w:footnote w:type="continuationSeparator" w:id="0">
    <w:p w:rsidR="00624D9B" w:rsidRDefault="00624D9B" w:rsidP="002A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C" w:rsidRPr="005F6BC6" w:rsidRDefault="002A26A5" w:rsidP="00F77B4C">
    <w:pPr>
      <w:spacing w:line="360" w:lineRule="auto"/>
      <w:contextualSpacing/>
      <w:jc w:val="center"/>
      <w:rPr>
        <w:rFonts w:ascii="Verdana" w:eastAsiaTheme="minorHAnsi" w:hAnsi="Verdana" w:cstheme="minorBidi"/>
        <w:b/>
        <w:sz w:val="20"/>
        <w:szCs w:val="20"/>
      </w:rPr>
    </w:pPr>
    <w:r w:rsidRPr="00867A35">
      <w:rPr>
        <w:rFonts w:ascii="Verdana" w:eastAsia="Μοντέρνα" w:hAnsi="Verdana"/>
        <w:b/>
        <w:sz w:val="20"/>
        <w:szCs w:val="20"/>
        <w:lang w:eastAsia="bg-BG"/>
      </w:rPr>
      <w:t>ОСНОВНИ РЕЗУЛТАТИ ОТ НАБЛЮДЕНИЕТО НА РАБОТНАТА СИЛА</w:t>
    </w:r>
    <w:r>
      <w:rPr>
        <w:rFonts w:ascii="Verdana" w:eastAsia="Μοντέρνα" w:hAnsi="Verdana"/>
        <w:b/>
        <w:sz w:val="20"/>
        <w:szCs w:val="20"/>
        <w:lang w:val="en-US" w:eastAsia="bg-BG"/>
      </w:rPr>
      <w:t xml:space="preserve"> </w:t>
    </w:r>
    <w:r w:rsidRPr="00867A35">
      <w:rPr>
        <w:rFonts w:ascii="Verdana" w:eastAsia="Μοντέρνα" w:hAnsi="Verdana"/>
        <w:b/>
        <w:sz w:val="20"/>
        <w:szCs w:val="20"/>
        <w:lang w:eastAsia="bg-BG"/>
      </w:rPr>
      <w:t xml:space="preserve">В ОБЛАСТ СЛИВЕН ПРЕЗ </w:t>
    </w:r>
    <w:r>
      <w:rPr>
        <w:rFonts w:ascii="Verdana" w:eastAsia="Μοντέρνα" w:hAnsi="Verdana"/>
        <w:b/>
        <w:sz w:val="20"/>
        <w:szCs w:val="20"/>
        <w:lang w:eastAsia="bg-BG"/>
      </w:rPr>
      <w:t>2025</w:t>
    </w:r>
    <w:r w:rsidRPr="00867A35">
      <w:rPr>
        <w:rFonts w:ascii="Verdana" w:eastAsia="Μοντέρνα" w:hAnsi="Verdana"/>
        <w:b/>
        <w:sz w:val="20"/>
        <w:szCs w:val="20"/>
        <w:lang w:eastAsia="bg-BG"/>
      </w:rPr>
      <w:t xml:space="preserve"> ГОДИНА</w:t>
    </w:r>
  </w:p>
  <w:p w:rsidR="00D83F28" w:rsidRPr="00171DE8" w:rsidRDefault="00FB7630" w:rsidP="00171DE8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C94EA12" wp14:editId="47E45E6C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CB8A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FB7630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4835E578" wp14:editId="56B0F918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0F904" wp14:editId="636DEC7C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FB7630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FB7630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624D9B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0F9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FB7630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FB7630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397F81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B164FAE" wp14:editId="71FB78A3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52C6F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4FE86B" wp14:editId="2F943D98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61689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650BB932" wp14:editId="0DCCB039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A5"/>
    <w:rsid w:val="00033393"/>
    <w:rsid w:val="00265ACF"/>
    <w:rsid w:val="002A26A5"/>
    <w:rsid w:val="0030642D"/>
    <w:rsid w:val="00362B10"/>
    <w:rsid w:val="00397F81"/>
    <w:rsid w:val="003F2C8A"/>
    <w:rsid w:val="004B2133"/>
    <w:rsid w:val="005C0B18"/>
    <w:rsid w:val="00624D9B"/>
    <w:rsid w:val="00655BAE"/>
    <w:rsid w:val="00671E66"/>
    <w:rsid w:val="00B40BF8"/>
    <w:rsid w:val="00B67C60"/>
    <w:rsid w:val="00B94AF5"/>
    <w:rsid w:val="00C42B3F"/>
    <w:rsid w:val="00C56083"/>
    <w:rsid w:val="00E80475"/>
    <w:rsid w:val="00EC1613"/>
    <w:rsid w:val="00F465E8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ABEDF1D-FB4E-4D07-AD72-9C89A79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A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26A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A26A5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A2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26A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A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7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67C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7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si.bg/bg/content/4002/%D0%B3%D0%BE%D0%B4%D0%B8%D1%88%D0%BD%D0%B8-%D0%B4%D0%B0%D0%BD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i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RS_pom_tabl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237016401830631E-2"/>
          <c:y val="8.8145896656534953E-2"/>
          <c:w val="0.90332376322995744"/>
          <c:h val="0.715918898709256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'[RS_pom_tabl_2024.xlsx]граф 1 2025'!$A$4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'[RS_pom_tabl_2024.xlsx]граф 1 2025'!$B$3:$E$3</c:f>
              <c:strCache>
                <c:ptCount val="4"/>
                <c:pt idx="0">
                  <c:v>Общо</c:v>
                </c:pt>
                <c:pt idx="1">
                  <c:v>Висше</c:v>
                </c:pt>
                <c:pt idx="2">
                  <c:v>Средно</c:v>
                </c:pt>
                <c:pt idx="3">
                  <c:v>Основно и по-ниско</c:v>
                </c:pt>
              </c:strCache>
            </c:strRef>
          </c:cat>
          <c:val>
            <c:numRef>
              <c:f>'[RS_pom_tabl_2024.xlsx]граф 1 2025'!$B$4:$E$4</c:f>
              <c:numCache>
                <c:formatCode>0.0</c:formatCode>
                <c:ptCount val="4"/>
                <c:pt idx="0">
                  <c:v>65.599999999999994</c:v>
                </c:pt>
                <c:pt idx="1">
                  <c:v>90.7</c:v>
                </c:pt>
                <c:pt idx="2">
                  <c:v>75.400000000000006</c:v>
                </c:pt>
                <c:pt idx="3">
                  <c:v>40.9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AC-407B-9354-F0C3D5D250F2}"/>
            </c:ext>
          </c:extLst>
        </c:ser>
        <c:ser>
          <c:idx val="1"/>
          <c:order val="1"/>
          <c:tx>
            <c:strRef>
              <c:f>'[RS_pom_tabl_2024.xlsx]граф 1 2025'!$A$5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'[RS_pom_tabl_2024.xlsx]граф 1 2025'!$B$3:$E$3</c:f>
              <c:strCache>
                <c:ptCount val="4"/>
                <c:pt idx="0">
                  <c:v>Общо</c:v>
                </c:pt>
                <c:pt idx="1">
                  <c:v>Висше</c:v>
                </c:pt>
                <c:pt idx="2">
                  <c:v>Средно</c:v>
                </c:pt>
                <c:pt idx="3">
                  <c:v>Основно и по-ниско</c:v>
                </c:pt>
              </c:strCache>
            </c:strRef>
          </c:cat>
          <c:val>
            <c:numRef>
              <c:f>'[RS_pom_tabl_2024.xlsx]граф 1 2025'!$B$5:$E$5</c:f>
              <c:numCache>
                <c:formatCode>0.0</c:formatCode>
                <c:ptCount val="4"/>
                <c:pt idx="0">
                  <c:v>59</c:v>
                </c:pt>
                <c:pt idx="1">
                  <c:v>90.4</c:v>
                </c:pt>
                <c:pt idx="2">
                  <c:v>73.400000000000006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AC-407B-9354-F0C3D5D25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296616"/>
        <c:axId val="1"/>
      </c:barChart>
      <c:catAx>
        <c:axId val="404296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6.3363559699441893E-2"/>
              <c:y val="1.5197716989138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Times New Roman" panose="02020603050405020304" pitchFamily="18" charset="0"/>
                </a:defRPr>
              </a:pPr>
              <a:endParaRPr lang="bg-BG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404296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454545454545456E-2"/>
          <c:y val="8.8145896656534953E-2"/>
          <c:w val="0.89483711376428454"/>
          <c:h val="0.70480642627556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'граф 2 2025'!$A$4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 2 2025'!$B$3:$G$3</c:f>
              <c:strCache>
                <c:ptCount val="6"/>
                <c:pt idx="0">
                  <c:v>15 г. и повече</c:v>
                </c:pt>
                <c:pt idx="1">
                  <c:v>15 - 64</c:v>
                </c:pt>
                <c:pt idx="2">
                  <c:v>25 - 34</c:v>
                </c:pt>
                <c:pt idx="3">
                  <c:v>35 - 44</c:v>
                </c:pt>
                <c:pt idx="4">
                  <c:v>45 - 54</c:v>
                </c:pt>
                <c:pt idx="5">
                  <c:v>55 - 64</c:v>
                </c:pt>
              </c:strCache>
            </c:strRef>
          </c:cat>
          <c:val>
            <c:numRef>
              <c:f>'граф 2 2025'!$B$4:$G$4</c:f>
              <c:numCache>
                <c:formatCode>0.0</c:formatCode>
                <c:ptCount val="6"/>
                <c:pt idx="0">
                  <c:v>48.9</c:v>
                </c:pt>
                <c:pt idx="1">
                  <c:v>65.599999999999994</c:v>
                </c:pt>
                <c:pt idx="2">
                  <c:v>71.900000000000006</c:v>
                </c:pt>
                <c:pt idx="3">
                  <c:v>82.8</c:v>
                </c:pt>
                <c:pt idx="4" formatCode="General">
                  <c:v>75.2</c:v>
                </c:pt>
                <c:pt idx="5" formatCode="General">
                  <c:v>67.8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8-4C57-B3B3-47F6B3C29382}"/>
            </c:ext>
          </c:extLst>
        </c:ser>
        <c:ser>
          <c:idx val="1"/>
          <c:order val="1"/>
          <c:tx>
            <c:strRef>
              <c:f>'граф 2 2025'!$A$5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 2 2025'!$B$3:$G$3</c:f>
              <c:strCache>
                <c:ptCount val="6"/>
                <c:pt idx="0">
                  <c:v>15 г. и повече</c:v>
                </c:pt>
                <c:pt idx="1">
                  <c:v>15 - 64</c:v>
                </c:pt>
                <c:pt idx="2">
                  <c:v>25 - 34</c:v>
                </c:pt>
                <c:pt idx="3">
                  <c:v>35 - 44</c:v>
                </c:pt>
                <c:pt idx="4">
                  <c:v>45 - 54</c:v>
                </c:pt>
                <c:pt idx="5">
                  <c:v>55 - 64</c:v>
                </c:pt>
              </c:strCache>
            </c:strRef>
          </c:cat>
          <c:val>
            <c:numRef>
              <c:f>'граф 2 2025'!$B$5:$G$5</c:f>
              <c:numCache>
                <c:formatCode>0.0</c:formatCode>
                <c:ptCount val="6"/>
                <c:pt idx="0">
                  <c:v>44.2</c:v>
                </c:pt>
                <c:pt idx="1">
                  <c:v>59</c:v>
                </c:pt>
                <c:pt idx="2">
                  <c:v>59.3</c:v>
                </c:pt>
                <c:pt idx="3">
                  <c:v>75</c:v>
                </c:pt>
                <c:pt idx="4" formatCode="General">
                  <c:v>72.599999999999994</c:v>
                </c:pt>
                <c:pt idx="5" formatCode="General">
                  <c:v>61.9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98-4C57-B3B3-47F6B3C293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04296616"/>
        <c:axId val="1"/>
      </c:barChart>
      <c:catAx>
        <c:axId val="404296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6.1149420621273744E-2"/>
              <c:y val="1.519767748620065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Times New Roman" panose="02020603050405020304" pitchFamily="18" charset="0"/>
                </a:defRPr>
              </a:pPr>
              <a:endParaRPr lang="bg-BG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404296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DCBF-652F-4CB3-9D02-61218370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8</cp:revision>
  <cp:lastPrinted>2026-03-17T07:45:00Z</cp:lastPrinted>
  <dcterms:created xsi:type="dcterms:W3CDTF">2026-03-18T09:42:00Z</dcterms:created>
  <dcterms:modified xsi:type="dcterms:W3CDTF">2026-03-18T11:11:00Z</dcterms:modified>
</cp:coreProperties>
</file>